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6C736F" w:rsidRPr="00704B12" w14:paraId="06338A08" w14:textId="77777777" w:rsidTr="006C736F">
        <w:tc>
          <w:tcPr>
            <w:tcW w:w="9242" w:type="dxa"/>
          </w:tcPr>
          <w:p w14:paraId="39261D01" w14:textId="622080CA" w:rsidR="00005076" w:rsidRPr="00704B12" w:rsidRDefault="006C736F" w:rsidP="005B5B94">
            <w:pPr>
              <w:jc w:val="center"/>
              <w:rPr>
                <w:rFonts w:ascii="Verdana" w:hAnsi="Verdana"/>
                <w:b/>
                <w:sz w:val="24"/>
                <w:szCs w:val="20"/>
              </w:rPr>
            </w:pPr>
            <w:r w:rsidRPr="00704B12">
              <w:rPr>
                <w:rFonts w:ascii="Verdana" w:hAnsi="Verdana"/>
                <w:b/>
                <w:sz w:val="24"/>
                <w:szCs w:val="20"/>
              </w:rPr>
              <w:t xml:space="preserve">Gender Marker </w:t>
            </w:r>
            <w:r w:rsidR="009871FC" w:rsidRPr="00704B12">
              <w:rPr>
                <w:rFonts w:ascii="Verdana" w:hAnsi="Verdana"/>
                <w:b/>
                <w:sz w:val="24"/>
                <w:szCs w:val="20"/>
              </w:rPr>
              <w:t xml:space="preserve">Scoring </w:t>
            </w:r>
            <w:r w:rsidR="00704B12" w:rsidRPr="00704B12">
              <w:rPr>
                <w:rFonts w:ascii="Verdana" w:hAnsi="Verdana"/>
                <w:b/>
                <w:sz w:val="24"/>
                <w:szCs w:val="20"/>
              </w:rPr>
              <w:t>- Instructions</w:t>
            </w:r>
          </w:p>
        </w:tc>
      </w:tr>
    </w:tbl>
    <w:p w14:paraId="02430025" w14:textId="77777777" w:rsidR="006C736F" w:rsidRPr="00704B12" w:rsidRDefault="006C736F" w:rsidP="005B5B94">
      <w:pPr>
        <w:spacing w:after="0" w:line="240" w:lineRule="auto"/>
        <w:rPr>
          <w:rFonts w:ascii="Verdana" w:hAnsi="Verdana"/>
          <w:sz w:val="20"/>
          <w:szCs w:val="20"/>
        </w:rPr>
      </w:pPr>
    </w:p>
    <w:p w14:paraId="22732EE4" w14:textId="77777777" w:rsidR="00433BFD" w:rsidRDefault="00A51840" w:rsidP="005B5B94">
      <w:pPr>
        <w:spacing w:after="0" w:line="240" w:lineRule="auto"/>
        <w:jc w:val="both"/>
        <w:rPr>
          <w:rFonts w:ascii="Verdana" w:hAnsi="Verdana" w:cstheme="minorHAnsi"/>
          <w:sz w:val="20"/>
          <w:szCs w:val="20"/>
          <w:lang w:val="en-US"/>
        </w:rPr>
      </w:pPr>
      <w:r w:rsidRPr="00704B12">
        <w:rPr>
          <w:rFonts w:ascii="Verdana" w:hAnsi="Verdana" w:cstheme="minorHAnsi"/>
          <w:sz w:val="20"/>
          <w:szCs w:val="20"/>
          <w:lang w:val="en-US"/>
        </w:rPr>
        <w:t>Joint SDG Fund Gender marker will be aligned on the UN S</w:t>
      </w:r>
      <w:r w:rsidR="00D04D5A" w:rsidRPr="00704B12">
        <w:rPr>
          <w:rFonts w:ascii="Verdana" w:hAnsi="Verdana" w:cstheme="minorHAnsi"/>
          <w:sz w:val="20"/>
          <w:szCs w:val="20"/>
          <w:lang w:val="en-US"/>
        </w:rPr>
        <w:t xml:space="preserve">ystem </w:t>
      </w:r>
      <w:r w:rsidRPr="00704B12">
        <w:rPr>
          <w:rFonts w:ascii="Verdana" w:hAnsi="Verdana" w:cstheme="minorHAnsi"/>
          <w:sz w:val="20"/>
          <w:szCs w:val="20"/>
          <w:lang w:val="en-US"/>
        </w:rPr>
        <w:t>W</w:t>
      </w:r>
      <w:r w:rsidR="00D04D5A" w:rsidRPr="00704B12">
        <w:rPr>
          <w:rFonts w:ascii="Verdana" w:hAnsi="Verdana" w:cstheme="minorHAnsi"/>
          <w:sz w:val="20"/>
          <w:szCs w:val="20"/>
          <w:lang w:val="en-US"/>
        </w:rPr>
        <w:t xml:space="preserve">ide </w:t>
      </w:r>
      <w:r w:rsidRPr="00704B12">
        <w:rPr>
          <w:rFonts w:ascii="Verdana" w:hAnsi="Verdana" w:cstheme="minorHAnsi"/>
          <w:sz w:val="20"/>
          <w:szCs w:val="20"/>
          <w:lang w:val="en-US"/>
        </w:rPr>
        <w:t>A</w:t>
      </w:r>
      <w:r w:rsidR="00D04D5A" w:rsidRPr="00704B12">
        <w:rPr>
          <w:rFonts w:ascii="Verdana" w:hAnsi="Verdana" w:cstheme="minorHAnsi"/>
          <w:sz w:val="20"/>
          <w:szCs w:val="20"/>
          <w:lang w:val="en-US"/>
        </w:rPr>
        <w:t xml:space="preserve">ction </w:t>
      </w:r>
      <w:r w:rsidRPr="00704B12">
        <w:rPr>
          <w:rFonts w:ascii="Verdana" w:hAnsi="Verdana" w:cstheme="minorHAnsi"/>
          <w:sz w:val="20"/>
          <w:szCs w:val="20"/>
          <w:lang w:val="en-US"/>
        </w:rPr>
        <w:t>P</w:t>
      </w:r>
      <w:r w:rsidR="00D04D5A" w:rsidRPr="00704B12">
        <w:rPr>
          <w:rFonts w:ascii="Verdana" w:hAnsi="Verdana" w:cstheme="minorHAnsi"/>
          <w:sz w:val="20"/>
          <w:szCs w:val="20"/>
          <w:lang w:val="en-US"/>
        </w:rPr>
        <w:t>lan</w:t>
      </w:r>
      <w:r w:rsidRPr="00704B12">
        <w:rPr>
          <w:rFonts w:ascii="Verdana" w:hAnsi="Verdana" w:cstheme="minorHAnsi"/>
          <w:sz w:val="20"/>
          <w:szCs w:val="20"/>
          <w:lang w:val="en-US"/>
        </w:rPr>
        <w:t xml:space="preserve"> </w:t>
      </w:r>
      <w:r w:rsidR="00D04D5A" w:rsidRPr="00704B12">
        <w:rPr>
          <w:rFonts w:ascii="Verdana" w:hAnsi="Verdana" w:cstheme="minorHAnsi"/>
          <w:sz w:val="20"/>
          <w:szCs w:val="20"/>
          <w:lang w:val="en-US"/>
        </w:rPr>
        <w:t xml:space="preserve">(SWAP) </w:t>
      </w:r>
      <w:r w:rsidRPr="00704B12">
        <w:rPr>
          <w:rFonts w:ascii="Verdana" w:hAnsi="Verdana" w:cstheme="minorHAnsi"/>
          <w:sz w:val="20"/>
          <w:szCs w:val="20"/>
          <w:lang w:val="en-US"/>
        </w:rPr>
        <w:t xml:space="preserve">Gender score card as the </w:t>
      </w:r>
      <w:r w:rsidR="00CB34DA" w:rsidRPr="00704B12">
        <w:rPr>
          <w:rFonts w:ascii="Verdana" w:hAnsi="Verdana" w:cstheme="minorHAnsi"/>
          <w:sz w:val="20"/>
          <w:szCs w:val="20"/>
          <w:lang w:val="en-US"/>
        </w:rPr>
        <w:t>joint program</w:t>
      </w:r>
      <w:r w:rsidRPr="00704B12">
        <w:rPr>
          <w:rFonts w:ascii="Verdana" w:hAnsi="Verdana" w:cstheme="minorHAnsi"/>
          <w:sz w:val="20"/>
          <w:szCs w:val="20"/>
          <w:lang w:val="en-US"/>
        </w:rPr>
        <w:t xml:space="preserve"> proposed to the Fund are joint and managed by UNCTs. </w:t>
      </w:r>
      <w:r w:rsidR="00A61932" w:rsidRPr="00704B12">
        <w:rPr>
          <w:rFonts w:ascii="Verdana" w:hAnsi="Verdana" w:cstheme="minorHAnsi"/>
          <w:sz w:val="20"/>
          <w:szCs w:val="20"/>
          <w:lang w:val="en-US"/>
        </w:rPr>
        <w:t>Therefore,</w:t>
      </w:r>
      <w:r w:rsidRPr="00704B12">
        <w:rPr>
          <w:rFonts w:ascii="Verdana" w:hAnsi="Verdana" w:cstheme="minorHAnsi"/>
          <w:sz w:val="20"/>
          <w:szCs w:val="20"/>
          <w:lang w:val="en-US"/>
        </w:rPr>
        <w:t xml:space="preserve"> </w:t>
      </w:r>
      <w:r w:rsidR="00A61932" w:rsidRPr="00704B12">
        <w:rPr>
          <w:rFonts w:ascii="Verdana" w:hAnsi="Verdana" w:cstheme="minorHAnsi"/>
          <w:sz w:val="20"/>
          <w:szCs w:val="20"/>
          <w:lang w:val="en-US"/>
        </w:rPr>
        <w:t>criteria</w:t>
      </w:r>
      <w:r w:rsidRPr="00704B12">
        <w:rPr>
          <w:rFonts w:ascii="Verdana" w:hAnsi="Verdana" w:cstheme="minorHAnsi"/>
          <w:sz w:val="20"/>
          <w:szCs w:val="20"/>
          <w:lang w:val="en-US"/>
        </w:rPr>
        <w:t xml:space="preserve"> used to assess gender dimension of a pr</w:t>
      </w:r>
      <w:r w:rsidR="00433BFD">
        <w:rPr>
          <w:rFonts w:ascii="Verdana" w:hAnsi="Verdana" w:cstheme="minorHAnsi"/>
          <w:sz w:val="20"/>
          <w:szCs w:val="20"/>
          <w:lang w:val="en-US"/>
        </w:rPr>
        <w:t>ogramme</w:t>
      </w:r>
      <w:r w:rsidRPr="00704B12">
        <w:rPr>
          <w:rFonts w:ascii="Verdana" w:hAnsi="Verdana" w:cstheme="minorHAnsi"/>
          <w:sz w:val="20"/>
          <w:szCs w:val="20"/>
          <w:lang w:val="en-US"/>
        </w:rPr>
        <w:t xml:space="preserve"> should be the same that the ones which will be used to assess UNCT performance on gender. </w:t>
      </w:r>
    </w:p>
    <w:p w14:paraId="5A21875B" w14:textId="77777777" w:rsidR="00433BFD" w:rsidRDefault="00433BFD" w:rsidP="005B5B94">
      <w:pPr>
        <w:spacing w:after="0" w:line="240" w:lineRule="auto"/>
        <w:jc w:val="both"/>
        <w:rPr>
          <w:rFonts w:ascii="Verdana" w:hAnsi="Verdana" w:cstheme="minorHAnsi"/>
          <w:sz w:val="20"/>
          <w:szCs w:val="20"/>
          <w:lang w:val="en-US"/>
        </w:rPr>
      </w:pPr>
    </w:p>
    <w:p w14:paraId="0903826B" w14:textId="37DAA610" w:rsidR="00DE2406" w:rsidRDefault="00A51840" w:rsidP="005B5B94">
      <w:pPr>
        <w:spacing w:after="0" w:line="240" w:lineRule="auto"/>
        <w:jc w:val="both"/>
        <w:rPr>
          <w:rFonts w:ascii="Verdana" w:hAnsi="Verdana" w:cstheme="minorHAnsi"/>
          <w:sz w:val="20"/>
          <w:szCs w:val="20"/>
          <w:lang w:val="en-US"/>
        </w:rPr>
      </w:pPr>
      <w:r w:rsidRPr="00704B12">
        <w:rPr>
          <w:rFonts w:ascii="Verdana" w:hAnsi="Verdana" w:cstheme="minorHAnsi"/>
          <w:sz w:val="20"/>
          <w:szCs w:val="20"/>
          <w:lang w:val="en-US"/>
        </w:rPr>
        <w:t xml:space="preserve">To that end, gender marker will use </w:t>
      </w:r>
      <w:r w:rsidR="002F0547" w:rsidRPr="00704B12">
        <w:rPr>
          <w:rFonts w:ascii="Verdana" w:hAnsi="Verdana" w:cstheme="minorHAnsi"/>
          <w:sz w:val="20"/>
          <w:szCs w:val="20"/>
          <w:lang w:val="en-US"/>
        </w:rPr>
        <w:t xml:space="preserve">3 </w:t>
      </w:r>
      <w:r w:rsidRPr="00704B12">
        <w:rPr>
          <w:rFonts w:ascii="Verdana" w:hAnsi="Verdana" w:cstheme="minorHAnsi"/>
          <w:sz w:val="20"/>
          <w:szCs w:val="20"/>
          <w:lang w:val="en-US"/>
        </w:rPr>
        <w:t xml:space="preserve">of the 7 dimensions included in the UN SWAP Score card to address key </w:t>
      </w:r>
      <w:r w:rsidR="00D04D5A" w:rsidRPr="00704B12">
        <w:rPr>
          <w:rFonts w:ascii="Verdana" w:hAnsi="Verdana" w:cstheme="minorHAnsi"/>
          <w:sz w:val="20"/>
          <w:szCs w:val="20"/>
          <w:lang w:val="en-US"/>
        </w:rPr>
        <w:t>Gender Equality and Women Empowerment (GEWE)</w:t>
      </w:r>
      <w:r w:rsidRPr="00704B12">
        <w:rPr>
          <w:rFonts w:ascii="Verdana" w:hAnsi="Verdana" w:cstheme="minorHAnsi"/>
          <w:sz w:val="20"/>
          <w:szCs w:val="20"/>
          <w:lang w:val="en-US"/>
        </w:rPr>
        <w:t xml:space="preserve"> </w:t>
      </w:r>
      <w:r w:rsidR="00A61932" w:rsidRPr="00704B12">
        <w:rPr>
          <w:rFonts w:ascii="Verdana" w:hAnsi="Verdana" w:cstheme="minorHAnsi"/>
          <w:sz w:val="20"/>
          <w:szCs w:val="20"/>
          <w:lang w:val="en-US"/>
        </w:rPr>
        <w:t>components:</w:t>
      </w:r>
      <w:r w:rsidRPr="00704B12">
        <w:rPr>
          <w:rFonts w:ascii="Verdana" w:hAnsi="Verdana" w:cstheme="minorHAnsi"/>
          <w:sz w:val="20"/>
          <w:szCs w:val="20"/>
          <w:lang w:val="en-US"/>
        </w:rPr>
        <w:t xml:space="preserve"> programming</w:t>
      </w:r>
      <w:r w:rsidR="002F0547" w:rsidRPr="00704B12">
        <w:rPr>
          <w:rFonts w:ascii="Verdana" w:hAnsi="Verdana" w:cstheme="minorHAnsi"/>
          <w:sz w:val="20"/>
          <w:szCs w:val="20"/>
          <w:lang w:val="en-US"/>
        </w:rPr>
        <w:t xml:space="preserve">, </w:t>
      </w:r>
      <w:r w:rsidRPr="00704B12">
        <w:rPr>
          <w:rFonts w:ascii="Verdana" w:hAnsi="Verdana" w:cstheme="minorHAnsi"/>
          <w:sz w:val="20"/>
          <w:szCs w:val="20"/>
          <w:lang w:val="en-US"/>
        </w:rPr>
        <w:t xml:space="preserve">monitoring and </w:t>
      </w:r>
      <w:r w:rsidR="00A61932" w:rsidRPr="00704B12">
        <w:rPr>
          <w:rFonts w:ascii="Verdana" w:hAnsi="Verdana" w:cstheme="minorHAnsi"/>
          <w:sz w:val="20"/>
          <w:szCs w:val="20"/>
          <w:lang w:val="en-US"/>
        </w:rPr>
        <w:t>evaluation;</w:t>
      </w:r>
      <w:r w:rsidRPr="00704B12">
        <w:rPr>
          <w:rFonts w:ascii="Verdana" w:hAnsi="Verdana" w:cstheme="minorHAnsi"/>
          <w:sz w:val="20"/>
          <w:szCs w:val="20"/>
          <w:lang w:val="en-US"/>
        </w:rPr>
        <w:t xml:space="preserve"> partnerships;</w:t>
      </w:r>
      <w:r w:rsidR="00C15E32" w:rsidRPr="00704B12">
        <w:rPr>
          <w:rFonts w:ascii="Verdana" w:hAnsi="Verdana" w:cstheme="minorHAnsi"/>
          <w:sz w:val="20"/>
          <w:szCs w:val="20"/>
          <w:lang w:val="en-US"/>
        </w:rPr>
        <w:t xml:space="preserve"> financial </w:t>
      </w:r>
      <w:r w:rsidR="00A61932" w:rsidRPr="00704B12">
        <w:rPr>
          <w:rFonts w:ascii="Verdana" w:hAnsi="Verdana" w:cstheme="minorHAnsi"/>
          <w:sz w:val="20"/>
          <w:szCs w:val="20"/>
          <w:lang w:val="en-US"/>
        </w:rPr>
        <w:t>resources</w:t>
      </w:r>
      <w:r w:rsidR="002F0547" w:rsidRPr="00704B12">
        <w:rPr>
          <w:rFonts w:ascii="Verdana" w:hAnsi="Verdana" w:cstheme="minorHAnsi"/>
          <w:sz w:val="20"/>
          <w:szCs w:val="20"/>
          <w:lang w:val="en-US"/>
        </w:rPr>
        <w:t>.</w:t>
      </w:r>
    </w:p>
    <w:p w14:paraId="56AEA928" w14:textId="77777777" w:rsidR="005B5B94" w:rsidRPr="00704B12" w:rsidRDefault="005B5B94" w:rsidP="005B5B94">
      <w:pPr>
        <w:spacing w:after="0" w:line="240" w:lineRule="auto"/>
        <w:jc w:val="both"/>
        <w:rPr>
          <w:rFonts w:ascii="Verdana" w:hAnsi="Verdana" w:cstheme="minorHAnsi"/>
          <w:sz w:val="20"/>
          <w:szCs w:val="20"/>
          <w:lang w:val="en-US"/>
        </w:rPr>
      </w:pPr>
    </w:p>
    <w:p w14:paraId="5FB21713" w14:textId="74592079" w:rsidR="00C15E32" w:rsidRPr="00704B12" w:rsidRDefault="00C15E32" w:rsidP="005B5B94">
      <w:pPr>
        <w:pStyle w:val="Default"/>
        <w:jc w:val="both"/>
        <w:rPr>
          <w:rFonts w:ascii="Verdana" w:hAnsi="Verdana" w:cstheme="minorHAnsi"/>
          <w:sz w:val="20"/>
          <w:szCs w:val="20"/>
        </w:rPr>
      </w:pPr>
      <w:r w:rsidRPr="00704B12">
        <w:rPr>
          <w:rFonts w:ascii="Verdana" w:hAnsi="Verdana" w:cstheme="minorHAnsi"/>
          <w:sz w:val="20"/>
          <w:szCs w:val="20"/>
        </w:rPr>
        <w:t xml:space="preserve">The Gender Marker includes </w:t>
      </w:r>
      <w:r w:rsidR="004341FA">
        <w:rPr>
          <w:rFonts w:ascii="Verdana" w:hAnsi="Verdana" w:cstheme="minorHAnsi"/>
          <w:sz w:val="20"/>
          <w:szCs w:val="20"/>
        </w:rPr>
        <w:t>3</w:t>
      </w:r>
      <w:r w:rsidRPr="00704B12">
        <w:rPr>
          <w:rFonts w:ascii="Verdana" w:hAnsi="Verdana" w:cstheme="minorHAnsi"/>
          <w:sz w:val="20"/>
          <w:szCs w:val="20"/>
        </w:rPr>
        <w:t xml:space="preserve"> indicators within </w:t>
      </w:r>
      <w:r w:rsidR="002F0547" w:rsidRPr="00704B12">
        <w:rPr>
          <w:rFonts w:ascii="Verdana" w:hAnsi="Verdana" w:cstheme="minorHAnsi"/>
          <w:sz w:val="20"/>
          <w:szCs w:val="20"/>
        </w:rPr>
        <w:t>3</w:t>
      </w:r>
      <w:r w:rsidR="00A61932" w:rsidRPr="00704B12">
        <w:rPr>
          <w:rFonts w:ascii="Verdana" w:hAnsi="Verdana" w:cstheme="minorHAnsi"/>
          <w:sz w:val="20"/>
          <w:szCs w:val="20"/>
        </w:rPr>
        <w:t>-dimension</w:t>
      </w:r>
      <w:r w:rsidRPr="00704B12">
        <w:rPr>
          <w:rFonts w:ascii="Verdana" w:hAnsi="Verdana" w:cstheme="minorHAnsi"/>
          <w:sz w:val="20"/>
          <w:szCs w:val="20"/>
        </w:rPr>
        <w:t xml:space="preserve"> areas. The dimension areas are designed to move logically through the programming cycle from planning to achievement of results. The scoring system enables applicants to report results for each indicator.</w:t>
      </w:r>
      <w:r w:rsidR="00A61932" w:rsidRPr="00704B12">
        <w:rPr>
          <w:rFonts w:ascii="Verdana" w:hAnsi="Verdana" w:cstheme="minorHAnsi"/>
          <w:sz w:val="20"/>
          <w:szCs w:val="20"/>
        </w:rPr>
        <w:t xml:space="preserve"> </w:t>
      </w:r>
      <w:r w:rsidRPr="00704B12">
        <w:rPr>
          <w:rFonts w:ascii="Verdana" w:hAnsi="Verdana" w:cstheme="minorHAnsi"/>
          <w:sz w:val="20"/>
          <w:szCs w:val="20"/>
        </w:rPr>
        <w:t xml:space="preserve">Furthermore, the self-assessment process helps raise internal awareness and understanding of requirements for full implementation of </w:t>
      </w:r>
      <w:r w:rsidR="00A61932" w:rsidRPr="00704B12">
        <w:rPr>
          <w:rFonts w:ascii="Verdana" w:hAnsi="Verdana" w:cstheme="minorHAnsi"/>
          <w:sz w:val="20"/>
          <w:szCs w:val="20"/>
        </w:rPr>
        <w:t xml:space="preserve">gender mainstreaming into programs cycle. </w:t>
      </w:r>
    </w:p>
    <w:p w14:paraId="4E2C142F" w14:textId="77777777" w:rsidR="00A61932" w:rsidRPr="00704B12" w:rsidRDefault="00A61932" w:rsidP="005B5B94">
      <w:pPr>
        <w:pStyle w:val="Default"/>
        <w:jc w:val="both"/>
        <w:rPr>
          <w:rFonts w:ascii="Verdana" w:hAnsi="Verdana" w:cstheme="minorHAnsi"/>
          <w:sz w:val="20"/>
          <w:szCs w:val="20"/>
        </w:rPr>
      </w:pPr>
    </w:p>
    <w:p w14:paraId="0C0F3894" w14:textId="77777777" w:rsidR="00A61932" w:rsidRPr="00704B12" w:rsidRDefault="00A61932" w:rsidP="005B5B94">
      <w:pPr>
        <w:pStyle w:val="Default"/>
        <w:jc w:val="both"/>
        <w:rPr>
          <w:rFonts w:ascii="Verdana" w:hAnsi="Verdana" w:cstheme="minorHAnsi"/>
          <w:b/>
          <w:bCs/>
          <w:sz w:val="20"/>
          <w:szCs w:val="20"/>
        </w:rPr>
      </w:pPr>
      <w:r w:rsidRPr="00704B12">
        <w:rPr>
          <w:rFonts w:ascii="Verdana" w:hAnsi="Verdana" w:cstheme="minorHAnsi"/>
          <w:b/>
          <w:bCs/>
          <w:sz w:val="20"/>
          <w:szCs w:val="20"/>
          <w:u w:val="single"/>
        </w:rPr>
        <w:t>The four levels of the scoring system are</w:t>
      </w:r>
      <w:r w:rsidRPr="00704B12">
        <w:rPr>
          <w:rFonts w:ascii="Verdana" w:hAnsi="Verdana" w:cstheme="minorHAnsi"/>
          <w:b/>
          <w:bCs/>
          <w:sz w:val="20"/>
          <w:szCs w:val="20"/>
        </w:rPr>
        <w:t>:</w:t>
      </w:r>
    </w:p>
    <w:p w14:paraId="3EFA2FA7" w14:textId="77777777" w:rsidR="00A61932" w:rsidRPr="00704B12" w:rsidRDefault="00A61932" w:rsidP="005B5B94">
      <w:pPr>
        <w:autoSpaceDE w:val="0"/>
        <w:autoSpaceDN w:val="0"/>
        <w:adjustRightInd w:val="0"/>
        <w:spacing w:after="0" w:line="240" w:lineRule="auto"/>
        <w:ind w:left="720"/>
        <w:jc w:val="both"/>
        <w:rPr>
          <w:rFonts w:ascii="Verdana" w:hAnsi="Verdana" w:cstheme="minorHAnsi"/>
          <w:color w:val="000000"/>
          <w:sz w:val="20"/>
          <w:szCs w:val="20"/>
          <w:lang w:val="en-US"/>
        </w:rPr>
      </w:pPr>
      <w:r w:rsidRPr="00704B12">
        <w:rPr>
          <w:rFonts w:ascii="Verdana" w:hAnsi="Verdana" w:cstheme="minorHAnsi"/>
          <w:color w:val="000000"/>
          <w:sz w:val="20"/>
          <w:szCs w:val="20"/>
          <w:lang w:val="en-US"/>
        </w:rPr>
        <w:t>Exceeds minimum standards: 3</w:t>
      </w:r>
    </w:p>
    <w:p w14:paraId="1F02E1C0" w14:textId="77777777" w:rsidR="00A61932" w:rsidRPr="00704B12" w:rsidRDefault="00A61932" w:rsidP="005B5B94">
      <w:pPr>
        <w:autoSpaceDE w:val="0"/>
        <w:autoSpaceDN w:val="0"/>
        <w:adjustRightInd w:val="0"/>
        <w:spacing w:after="0" w:line="240" w:lineRule="auto"/>
        <w:ind w:left="720"/>
        <w:jc w:val="both"/>
        <w:rPr>
          <w:rFonts w:ascii="Verdana" w:hAnsi="Verdana" w:cstheme="minorHAnsi"/>
          <w:color w:val="000000"/>
          <w:sz w:val="20"/>
          <w:szCs w:val="20"/>
          <w:lang w:val="en-US"/>
        </w:rPr>
      </w:pPr>
      <w:r w:rsidRPr="00704B12">
        <w:rPr>
          <w:rFonts w:ascii="Verdana" w:hAnsi="Verdana" w:cstheme="minorHAnsi"/>
          <w:color w:val="000000"/>
          <w:sz w:val="20"/>
          <w:szCs w:val="20"/>
          <w:lang w:val="en-US"/>
        </w:rPr>
        <w:t>Meets minimum standards: 2</w:t>
      </w:r>
    </w:p>
    <w:p w14:paraId="4C9B528C" w14:textId="77777777" w:rsidR="00A61932" w:rsidRPr="00704B12" w:rsidRDefault="00A61932" w:rsidP="005B5B94">
      <w:pPr>
        <w:autoSpaceDE w:val="0"/>
        <w:autoSpaceDN w:val="0"/>
        <w:adjustRightInd w:val="0"/>
        <w:spacing w:after="0" w:line="240" w:lineRule="auto"/>
        <w:ind w:left="720"/>
        <w:jc w:val="both"/>
        <w:rPr>
          <w:rFonts w:ascii="Verdana" w:hAnsi="Verdana" w:cstheme="minorHAnsi"/>
          <w:color w:val="000000"/>
          <w:sz w:val="20"/>
          <w:szCs w:val="20"/>
          <w:lang w:val="en-US"/>
        </w:rPr>
      </w:pPr>
      <w:r w:rsidRPr="00704B12">
        <w:rPr>
          <w:rFonts w:ascii="Verdana" w:hAnsi="Verdana" w:cstheme="minorHAnsi"/>
          <w:color w:val="000000"/>
          <w:sz w:val="20"/>
          <w:szCs w:val="20"/>
          <w:lang w:val="en-US"/>
        </w:rPr>
        <w:t>Approaches minimum standards: 1</w:t>
      </w:r>
    </w:p>
    <w:p w14:paraId="7DBAAFDB" w14:textId="77777777" w:rsidR="00A61932" w:rsidRPr="00704B12" w:rsidRDefault="00A61932" w:rsidP="005B5B94">
      <w:pPr>
        <w:autoSpaceDE w:val="0"/>
        <w:autoSpaceDN w:val="0"/>
        <w:adjustRightInd w:val="0"/>
        <w:spacing w:after="0" w:line="240" w:lineRule="auto"/>
        <w:ind w:left="720"/>
        <w:jc w:val="both"/>
        <w:rPr>
          <w:rFonts w:ascii="Verdana" w:hAnsi="Verdana" w:cstheme="minorHAnsi"/>
          <w:color w:val="000000"/>
          <w:sz w:val="20"/>
          <w:szCs w:val="20"/>
          <w:lang w:val="en-US"/>
        </w:rPr>
      </w:pPr>
      <w:r w:rsidRPr="00704B12">
        <w:rPr>
          <w:rFonts w:ascii="Verdana" w:hAnsi="Verdana" w:cstheme="minorHAnsi"/>
          <w:color w:val="000000"/>
          <w:sz w:val="20"/>
          <w:szCs w:val="20"/>
          <w:lang w:val="en-US"/>
        </w:rPr>
        <w:t>Missing: 0</w:t>
      </w:r>
    </w:p>
    <w:p w14:paraId="7DF94D15" w14:textId="77777777" w:rsidR="00A61932" w:rsidRPr="00704B12" w:rsidRDefault="00A61932" w:rsidP="005B5B94">
      <w:pPr>
        <w:autoSpaceDE w:val="0"/>
        <w:autoSpaceDN w:val="0"/>
        <w:adjustRightInd w:val="0"/>
        <w:spacing w:after="0" w:line="240" w:lineRule="auto"/>
        <w:jc w:val="both"/>
        <w:rPr>
          <w:rFonts w:ascii="Verdana" w:hAnsi="Verdana" w:cstheme="minorHAnsi"/>
          <w:color w:val="000000"/>
          <w:sz w:val="20"/>
          <w:szCs w:val="20"/>
          <w:lang w:val="en-US"/>
        </w:rPr>
      </w:pPr>
    </w:p>
    <w:p w14:paraId="2F93D519" w14:textId="1C1C643B" w:rsidR="0089622A" w:rsidRPr="00704B12" w:rsidRDefault="00A61932" w:rsidP="005B5B94">
      <w:pPr>
        <w:autoSpaceDE w:val="0"/>
        <w:autoSpaceDN w:val="0"/>
        <w:adjustRightInd w:val="0"/>
        <w:spacing w:after="0" w:line="240" w:lineRule="auto"/>
        <w:jc w:val="both"/>
        <w:rPr>
          <w:rFonts w:ascii="Verdana" w:hAnsi="Verdana" w:cstheme="minorHAnsi"/>
          <w:color w:val="000000"/>
          <w:sz w:val="20"/>
          <w:szCs w:val="20"/>
          <w:lang w:val="en-US"/>
        </w:rPr>
      </w:pPr>
      <w:r w:rsidRPr="00704B12">
        <w:rPr>
          <w:rFonts w:ascii="Verdana" w:hAnsi="Verdana" w:cstheme="minorHAnsi"/>
          <w:color w:val="000000"/>
          <w:sz w:val="20"/>
          <w:szCs w:val="20"/>
          <w:lang w:val="en-US"/>
        </w:rPr>
        <w:t xml:space="preserve">Applicant score as ‘approaches’, ‘meets’, or ‘exceeds’ minimum standards depending which criteria they meet for each indicator. If they fail to meet the criteria under “approaches minimum standards”, the indicator should be scored as ‘missing’. Most indicators contain multiple criteria. </w:t>
      </w:r>
      <w:r w:rsidR="0089622A" w:rsidRPr="00704B12">
        <w:rPr>
          <w:rFonts w:ascii="Verdana" w:hAnsi="Verdana" w:cstheme="minorHAnsi"/>
          <w:color w:val="000000"/>
          <w:sz w:val="20"/>
          <w:szCs w:val="20"/>
          <w:lang w:val="en-US"/>
        </w:rPr>
        <w:t xml:space="preserve">An average will be calculated between the 3 dimensions. </w:t>
      </w:r>
    </w:p>
    <w:p w14:paraId="5562E863" w14:textId="77777777" w:rsidR="0089622A" w:rsidRPr="00704B12" w:rsidRDefault="0089622A" w:rsidP="005B5B94">
      <w:pPr>
        <w:autoSpaceDE w:val="0"/>
        <w:autoSpaceDN w:val="0"/>
        <w:adjustRightInd w:val="0"/>
        <w:spacing w:after="0" w:line="240" w:lineRule="auto"/>
        <w:rPr>
          <w:rFonts w:ascii="Verdana" w:hAnsi="Verdana" w:cstheme="minorHAnsi"/>
          <w:color w:val="000000"/>
          <w:sz w:val="20"/>
          <w:szCs w:val="20"/>
          <w:lang w:val="en-US"/>
        </w:rPr>
      </w:pPr>
    </w:p>
    <w:p w14:paraId="39C538C2" w14:textId="77777777" w:rsidR="0045186B" w:rsidRPr="00704B12" w:rsidRDefault="0045186B" w:rsidP="005B5B94">
      <w:pPr>
        <w:spacing w:after="0" w:line="240" w:lineRule="auto"/>
        <w:jc w:val="both"/>
        <w:rPr>
          <w:rFonts w:ascii="Verdana" w:hAnsi="Verdana" w:cs="Calibri"/>
          <w:sz w:val="20"/>
          <w:szCs w:val="20"/>
          <w:lang w:val="en-US"/>
        </w:rPr>
        <w:sectPr w:rsidR="0045186B" w:rsidRPr="00704B12" w:rsidSect="00103CE3">
          <w:headerReference w:type="default" r:id="rId8"/>
          <w:footerReference w:type="default" r:id="rId9"/>
          <w:type w:val="continuous"/>
          <w:pgSz w:w="11906" w:h="16838"/>
          <w:pgMar w:top="1260" w:right="1440" w:bottom="990" w:left="1440" w:header="720" w:footer="720" w:gutter="0"/>
          <w:cols w:space="720"/>
          <w:docGrid w:linePitch="360"/>
        </w:sectPr>
      </w:pPr>
    </w:p>
    <w:p w14:paraId="5E1F2DC3" w14:textId="1A4DF482" w:rsidR="00A61932" w:rsidRPr="005B5B94" w:rsidRDefault="003B0517" w:rsidP="005B5B94">
      <w:pPr>
        <w:pStyle w:val="ListParagraph"/>
        <w:numPr>
          <w:ilvl w:val="0"/>
          <w:numId w:val="7"/>
        </w:numPr>
        <w:spacing w:after="0" w:line="240" w:lineRule="auto"/>
        <w:rPr>
          <w:rFonts w:ascii="Verdana" w:hAnsi="Verdana" w:cs="Calibri"/>
          <w:b/>
          <w:color w:val="4F81BD" w:themeColor="accent1"/>
        </w:rPr>
      </w:pPr>
      <w:r w:rsidRPr="005B5B94">
        <w:rPr>
          <w:rFonts w:ascii="Verdana" w:hAnsi="Verdana" w:cs="Calibri"/>
          <w:b/>
          <w:color w:val="4F81BD" w:themeColor="accent1"/>
        </w:rPr>
        <w:t>Analysis and Planning</w:t>
      </w:r>
    </w:p>
    <w:p w14:paraId="3BA9D1CE" w14:textId="77777777" w:rsidR="005B5B94" w:rsidRPr="005B5B94" w:rsidRDefault="005B5B94" w:rsidP="005B5B94">
      <w:pPr>
        <w:spacing w:after="0" w:line="240" w:lineRule="auto"/>
        <w:ind w:left="360"/>
        <w:rPr>
          <w:rFonts w:ascii="Verdana" w:hAnsi="Verdana" w:cs="Calibri"/>
          <w:b/>
          <w:color w:val="4F81BD" w:themeColor="accent1"/>
          <w:sz w:val="20"/>
          <w:szCs w:val="20"/>
        </w:rPr>
      </w:pPr>
    </w:p>
    <w:tbl>
      <w:tblPr>
        <w:tblStyle w:val="TableGrid"/>
        <w:tblW w:w="0" w:type="auto"/>
        <w:tblLook w:val="04A0" w:firstRow="1" w:lastRow="0" w:firstColumn="1" w:lastColumn="0" w:noHBand="0" w:noVBand="1"/>
      </w:tblPr>
      <w:tblGrid>
        <w:gridCol w:w="3004"/>
        <w:gridCol w:w="3006"/>
        <w:gridCol w:w="3006"/>
      </w:tblGrid>
      <w:tr w:rsidR="00A35631" w:rsidRPr="00704B12" w14:paraId="36757C62" w14:textId="77777777" w:rsidTr="00A35631">
        <w:tc>
          <w:tcPr>
            <w:tcW w:w="9242" w:type="dxa"/>
            <w:gridSpan w:val="3"/>
            <w:shd w:val="clear" w:color="auto" w:fill="548DD4" w:themeFill="text2" w:themeFillTint="99"/>
          </w:tcPr>
          <w:p w14:paraId="6D2B7006" w14:textId="77777777" w:rsidR="00A35631" w:rsidRPr="00704B12" w:rsidRDefault="00A35631" w:rsidP="005B5B94">
            <w:pPr>
              <w:jc w:val="center"/>
              <w:rPr>
                <w:rFonts w:ascii="Verdana" w:hAnsi="Verdana" w:cs="Calibri"/>
                <w:b/>
                <w:color w:val="FFFFFF" w:themeColor="background1"/>
                <w:sz w:val="20"/>
                <w:szCs w:val="20"/>
              </w:rPr>
            </w:pPr>
            <w:r w:rsidRPr="00704B12">
              <w:rPr>
                <w:rFonts w:ascii="Verdana" w:hAnsi="Verdana" w:cs="Calibri"/>
                <w:b/>
                <w:color w:val="FFFFFF" w:themeColor="background1"/>
                <w:sz w:val="20"/>
                <w:szCs w:val="20"/>
              </w:rPr>
              <w:t>Indicator 1.1. Context analysis integrate gender analysis</w:t>
            </w:r>
          </w:p>
        </w:tc>
      </w:tr>
      <w:tr w:rsidR="00A35631" w:rsidRPr="00704B12" w14:paraId="171195AB" w14:textId="77777777" w:rsidTr="00A35631">
        <w:tc>
          <w:tcPr>
            <w:tcW w:w="3080" w:type="dxa"/>
          </w:tcPr>
          <w:p w14:paraId="54318C26" w14:textId="77777777" w:rsidR="00A35631" w:rsidRPr="00704B12" w:rsidRDefault="00A35631" w:rsidP="005B5B94">
            <w:pPr>
              <w:jc w:val="center"/>
              <w:rPr>
                <w:rFonts w:ascii="Verdana" w:hAnsi="Verdana" w:cs="Calibri"/>
                <w:b/>
                <w:sz w:val="18"/>
                <w:szCs w:val="18"/>
              </w:rPr>
            </w:pPr>
            <w:r w:rsidRPr="00704B12">
              <w:rPr>
                <w:rFonts w:ascii="Verdana" w:hAnsi="Verdana" w:cs="Calibri"/>
                <w:b/>
                <w:sz w:val="18"/>
                <w:szCs w:val="18"/>
              </w:rPr>
              <w:t>Approach minimum requirements</w:t>
            </w:r>
          </w:p>
        </w:tc>
        <w:tc>
          <w:tcPr>
            <w:tcW w:w="3081" w:type="dxa"/>
          </w:tcPr>
          <w:p w14:paraId="0BDA71C3" w14:textId="77777777" w:rsidR="00A35631" w:rsidRPr="00704B12" w:rsidRDefault="00A35631" w:rsidP="005B5B94">
            <w:pPr>
              <w:jc w:val="center"/>
              <w:rPr>
                <w:rFonts w:ascii="Verdana" w:hAnsi="Verdana" w:cs="Calibri"/>
                <w:b/>
                <w:sz w:val="18"/>
                <w:szCs w:val="18"/>
              </w:rPr>
            </w:pPr>
            <w:r w:rsidRPr="00704B12">
              <w:rPr>
                <w:rFonts w:ascii="Verdana" w:hAnsi="Verdana" w:cs="Calibri"/>
                <w:b/>
                <w:sz w:val="18"/>
                <w:szCs w:val="18"/>
              </w:rPr>
              <w:t>Meets Minimum Requirements</w:t>
            </w:r>
          </w:p>
        </w:tc>
        <w:tc>
          <w:tcPr>
            <w:tcW w:w="3081" w:type="dxa"/>
          </w:tcPr>
          <w:p w14:paraId="564B0527" w14:textId="77777777" w:rsidR="00A35631" w:rsidRPr="00704B12" w:rsidRDefault="00A35631" w:rsidP="005B5B94">
            <w:pPr>
              <w:jc w:val="center"/>
              <w:rPr>
                <w:rFonts w:ascii="Verdana" w:hAnsi="Verdana" w:cs="Calibri"/>
                <w:b/>
                <w:sz w:val="18"/>
                <w:szCs w:val="18"/>
              </w:rPr>
            </w:pPr>
            <w:r w:rsidRPr="00704B12">
              <w:rPr>
                <w:rFonts w:ascii="Verdana" w:hAnsi="Verdana" w:cs="Calibri"/>
                <w:b/>
                <w:sz w:val="18"/>
                <w:szCs w:val="18"/>
              </w:rPr>
              <w:t>Exceed Minimum Requirements</w:t>
            </w:r>
          </w:p>
        </w:tc>
      </w:tr>
      <w:tr w:rsidR="00A35631" w:rsidRPr="00704B12" w14:paraId="5296C0B1" w14:textId="77777777" w:rsidTr="00A35631">
        <w:tc>
          <w:tcPr>
            <w:tcW w:w="3080" w:type="dxa"/>
          </w:tcPr>
          <w:p w14:paraId="18A77533" w14:textId="77777777" w:rsidR="00A35631" w:rsidRPr="00F67DEB" w:rsidRDefault="00A35631" w:rsidP="005B5B94">
            <w:pPr>
              <w:pStyle w:val="Default"/>
              <w:rPr>
                <w:rFonts w:ascii="Verdana" w:hAnsi="Verdana"/>
                <w:sz w:val="20"/>
                <w:szCs w:val="20"/>
              </w:rPr>
            </w:pPr>
            <w:r w:rsidRPr="00F67DEB">
              <w:rPr>
                <w:rFonts w:ascii="Verdana" w:hAnsi="Verdana"/>
                <w:sz w:val="20"/>
                <w:szCs w:val="20"/>
              </w:rPr>
              <w:t xml:space="preserve">Context analysis: </w:t>
            </w:r>
          </w:p>
          <w:p w14:paraId="6B47E238" w14:textId="77777777" w:rsidR="00A35631" w:rsidRPr="00F67DEB" w:rsidRDefault="00A35631" w:rsidP="005B5B94">
            <w:pPr>
              <w:pStyle w:val="Default"/>
              <w:numPr>
                <w:ilvl w:val="0"/>
                <w:numId w:val="8"/>
              </w:numPr>
              <w:rPr>
                <w:rFonts w:ascii="Verdana" w:hAnsi="Verdana"/>
                <w:sz w:val="20"/>
                <w:szCs w:val="20"/>
              </w:rPr>
            </w:pPr>
            <w:r w:rsidRPr="00F67DEB">
              <w:rPr>
                <w:rFonts w:ascii="Verdana" w:hAnsi="Verdana"/>
                <w:sz w:val="20"/>
                <w:szCs w:val="20"/>
              </w:rPr>
              <w:t xml:space="preserve">a) Gender analysis across the majority of sectors including underlying causes of gender inequality and discrimination line with SDG priorities including SDG 5; </w:t>
            </w:r>
          </w:p>
          <w:p w14:paraId="3FBE5D21" w14:textId="77777777" w:rsidR="00A35631" w:rsidRPr="00F67DEB" w:rsidRDefault="00A35631" w:rsidP="005B5B94">
            <w:pPr>
              <w:pStyle w:val="Default"/>
              <w:numPr>
                <w:ilvl w:val="0"/>
                <w:numId w:val="8"/>
              </w:numPr>
              <w:rPr>
                <w:rFonts w:ascii="Verdana" w:hAnsi="Verdana"/>
                <w:sz w:val="20"/>
                <w:szCs w:val="20"/>
              </w:rPr>
            </w:pPr>
            <w:r w:rsidRPr="00F67DEB">
              <w:rPr>
                <w:rFonts w:ascii="Verdana" w:hAnsi="Verdana"/>
                <w:sz w:val="20"/>
                <w:szCs w:val="20"/>
              </w:rPr>
              <w:t xml:space="preserve">b) Some sex-disaggregated and gender sensitive data. </w:t>
            </w:r>
          </w:p>
          <w:p w14:paraId="05078C4A" w14:textId="77777777" w:rsidR="00A35631" w:rsidRPr="00F67DEB" w:rsidRDefault="00A35631" w:rsidP="005B5B94">
            <w:pPr>
              <w:rPr>
                <w:rFonts w:ascii="Verdana" w:hAnsi="Verdana" w:cs="Calibri"/>
                <w:bCs/>
                <w:sz w:val="20"/>
                <w:szCs w:val="20"/>
                <w:lang w:val="en-US"/>
              </w:rPr>
            </w:pPr>
          </w:p>
        </w:tc>
        <w:tc>
          <w:tcPr>
            <w:tcW w:w="3081" w:type="dxa"/>
          </w:tcPr>
          <w:p w14:paraId="0D9DA96F" w14:textId="77777777" w:rsidR="00A35631" w:rsidRPr="00F67DEB" w:rsidRDefault="00A35631" w:rsidP="005B5B94">
            <w:pPr>
              <w:pStyle w:val="Default"/>
              <w:rPr>
                <w:rFonts w:ascii="Verdana" w:hAnsi="Verdana"/>
                <w:sz w:val="20"/>
                <w:szCs w:val="20"/>
              </w:rPr>
            </w:pPr>
            <w:r w:rsidRPr="00F67DEB">
              <w:rPr>
                <w:rFonts w:ascii="Verdana" w:hAnsi="Verdana"/>
                <w:sz w:val="20"/>
                <w:szCs w:val="20"/>
              </w:rPr>
              <w:t xml:space="preserve">Context </w:t>
            </w:r>
            <w:r w:rsidR="0089622A" w:rsidRPr="00F67DEB">
              <w:rPr>
                <w:rFonts w:ascii="Verdana" w:hAnsi="Verdana"/>
                <w:sz w:val="20"/>
                <w:szCs w:val="20"/>
              </w:rPr>
              <w:t>analysis:</w:t>
            </w:r>
            <w:r w:rsidRPr="00F67DEB">
              <w:rPr>
                <w:rFonts w:ascii="Verdana" w:hAnsi="Verdana"/>
                <w:sz w:val="20"/>
                <w:szCs w:val="20"/>
              </w:rPr>
              <w:t xml:space="preserve"> </w:t>
            </w:r>
          </w:p>
          <w:p w14:paraId="7479C3CA" w14:textId="77777777" w:rsidR="00A35631" w:rsidRPr="00F67DEB" w:rsidRDefault="00A35631" w:rsidP="005B5B94">
            <w:pPr>
              <w:pStyle w:val="Default"/>
              <w:numPr>
                <w:ilvl w:val="0"/>
                <w:numId w:val="9"/>
              </w:numPr>
              <w:rPr>
                <w:rFonts w:ascii="Verdana" w:hAnsi="Verdana"/>
                <w:sz w:val="20"/>
                <w:szCs w:val="20"/>
              </w:rPr>
            </w:pPr>
            <w:r w:rsidRPr="00F67DEB">
              <w:rPr>
                <w:rFonts w:ascii="Verdana" w:hAnsi="Verdana"/>
                <w:sz w:val="20"/>
                <w:szCs w:val="20"/>
              </w:rPr>
              <w:t xml:space="preserve">a) Gender analysis across all sectors including underlying causes of gender inequality and discrimination in line with SDG priorities including SDG 5; </w:t>
            </w:r>
          </w:p>
          <w:p w14:paraId="7E590C9F" w14:textId="77777777" w:rsidR="00A35631" w:rsidRPr="00F67DEB" w:rsidRDefault="00A35631" w:rsidP="005B5B94">
            <w:pPr>
              <w:pStyle w:val="Default"/>
              <w:numPr>
                <w:ilvl w:val="0"/>
                <w:numId w:val="9"/>
              </w:numPr>
              <w:rPr>
                <w:rFonts w:ascii="Verdana" w:hAnsi="Verdana"/>
                <w:sz w:val="20"/>
                <w:szCs w:val="20"/>
              </w:rPr>
            </w:pPr>
            <w:r w:rsidRPr="00F67DEB">
              <w:rPr>
                <w:rFonts w:ascii="Verdana" w:hAnsi="Verdana"/>
                <w:sz w:val="20"/>
                <w:szCs w:val="20"/>
              </w:rPr>
              <w:t xml:space="preserve">b) Consistent sex-disaggregated and gender sensitive data. </w:t>
            </w:r>
          </w:p>
          <w:p w14:paraId="394633DC" w14:textId="77777777" w:rsidR="00A35631" w:rsidRPr="00F67DEB" w:rsidRDefault="00A35631" w:rsidP="005B5B94">
            <w:pPr>
              <w:rPr>
                <w:rFonts w:ascii="Verdana" w:hAnsi="Verdana" w:cs="Calibri"/>
                <w:bCs/>
                <w:sz w:val="20"/>
                <w:szCs w:val="20"/>
                <w:lang w:val="en-US"/>
              </w:rPr>
            </w:pPr>
          </w:p>
        </w:tc>
        <w:tc>
          <w:tcPr>
            <w:tcW w:w="3081" w:type="dxa"/>
          </w:tcPr>
          <w:p w14:paraId="554061C0" w14:textId="77777777" w:rsidR="00A35631" w:rsidRPr="00F67DEB" w:rsidRDefault="00A35631" w:rsidP="005B5B94">
            <w:pPr>
              <w:pStyle w:val="Default"/>
              <w:rPr>
                <w:rFonts w:ascii="Verdana" w:hAnsi="Verdana"/>
                <w:sz w:val="20"/>
                <w:szCs w:val="20"/>
              </w:rPr>
            </w:pPr>
            <w:r w:rsidRPr="00F67DEB">
              <w:rPr>
                <w:rFonts w:ascii="Verdana" w:hAnsi="Verdana"/>
                <w:sz w:val="20"/>
                <w:szCs w:val="20"/>
              </w:rPr>
              <w:t xml:space="preserve">Context analysis: </w:t>
            </w:r>
          </w:p>
          <w:p w14:paraId="21F2F2FF" w14:textId="77777777" w:rsidR="00A35631" w:rsidRPr="00F67DEB" w:rsidRDefault="00A35631" w:rsidP="005B5B94">
            <w:pPr>
              <w:pStyle w:val="Default"/>
              <w:numPr>
                <w:ilvl w:val="0"/>
                <w:numId w:val="10"/>
              </w:numPr>
              <w:rPr>
                <w:rFonts w:ascii="Verdana" w:hAnsi="Verdana"/>
                <w:sz w:val="20"/>
                <w:szCs w:val="20"/>
              </w:rPr>
            </w:pPr>
            <w:r w:rsidRPr="00F67DEB">
              <w:rPr>
                <w:rFonts w:ascii="Verdana" w:hAnsi="Verdana"/>
                <w:sz w:val="20"/>
                <w:szCs w:val="20"/>
              </w:rPr>
              <w:t xml:space="preserve">a) Gender analysis across all sectors including underlying causes of gender inequality and discrimination in line with SDG priorities including SDG 5; </w:t>
            </w:r>
          </w:p>
          <w:p w14:paraId="0060D7DD" w14:textId="77777777" w:rsidR="00A35631" w:rsidRPr="00F67DEB" w:rsidRDefault="00A35631" w:rsidP="005B5B94">
            <w:pPr>
              <w:pStyle w:val="Default"/>
              <w:numPr>
                <w:ilvl w:val="0"/>
                <w:numId w:val="10"/>
              </w:numPr>
              <w:rPr>
                <w:rFonts w:ascii="Verdana" w:hAnsi="Verdana"/>
                <w:sz w:val="20"/>
                <w:szCs w:val="20"/>
              </w:rPr>
            </w:pPr>
            <w:r w:rsidRPr="00F67DEB">
              <w:rPr>
                <w:rFonts w:ascii="Verdana" w:hAnsi="Verdana"/>
                <w:sz w:val="20"/>
                <w:szCs w:val="20"/>
              </w:rPr>
              <w:t xml:space="preserve">b) Consistent sex-disaggregated and gender sensitive data; </w:t>
            </w:r>
          </w:p>
          <w:p w14:paraId="7AD82F2D" w14:textId="4612A84C" w:rsidR="00A35631" w:rsidRPr="00F67DEB" w:rsidRDefault="00A35631" w:rsidP="005B5B94">
            <w:pPr>
              <w:pStyle w:val="Default"/>
              <w:numPr>
                <w:ilvl w:val="0"/>
                <w:numId w:val="10"/>
              </w:numPr>
              <w:rPr>
                <w:rFonts w:ascii="Verdana" w:hAnsi="Verdana"/>
                <w:sz w:val="20"/>
                <w:szCs w:val="20"/>
              </w:rPr>
            </w:pPr>
            <w:r w:rsidRPr="00F67DEB">
              <w:rPr>
                <w:rFonts w:ascii="Verdana" w:hAnsi="Verdana"/>
                <w:sz w:val="20"/>
                <w:szCs w:val="20"/>
              </w:rPr>
              <w:t xml:space="preserve">c) Targeted gender analysis of those furthest behind. </w:t>
            </w:r>
          </w:p>
        </w:tc>
      </w:tr>
    </w:tbl>
    <w:p w14:paraId="7C6B1D24" w14:textId="77777777" w:rsidR="002E7CA1" w:rsidRPr="00704B12" w:rsidRDefault="002E7CA1" w:rsidP="005B5B94">
      <w:pPr>
        <w:spacing w:after="0" w:line="240" w:lineRule="auto"/>
        <w:jc w:val="both"/>
        <w:rPr>
          <w:rFonts w:ascii="Verdana" w:hAnsi="Verdana" w:cs="Calibri"/>
          <w:b/>
          <w:color w:val="4F81BD" w:themeColor="accent1"/>
          <w:sz w:val="20"/>
          <w:szCs w:val="20"/>
        </w:rPr>
      </w:pPr>
    </w:p>
    <w:p w14:paraId="3449DBED" w14:textId="673770AA" w:rsidR="00A61932" w:rsidRPr="00704B12" w:rsidRDefault="00A35631" w:rsidP="005B5B94">
      <w:pPr>
        <w:spacing w:after="0" w:line="240" w:lineRule="auto"/>
        <w:jc w:val="both"/>
        <w:rPr>
          <w:rFonts w:ascii="Verdana" w:hAnsi="Verdana" w:cs="Calibri"/>
          <w:b/>
          <w:color w:val="4F81BD" w:themeColor="accent1"/>
          <w:sz w:val="20"/>
          <w:szCs w:val="20"/>
        </w:rPr>
      </w:pPr>
      <w:r w:rsidRPr="00704B12">
        <w:rPr>
          <w:rFonts w:ascii="Verdana" w:hAnsi="Verdana" w:cs="Calibri"/>
          <w:b/>
          <w:color w:val="4F81BD" w:themeColor="accent1"/>
          <w:sz w:val="20"/>
          <w:szCs w:val="20"/>
        </w:rPr>
        <w:t>What</w:t>
      </w:r>
      <w:r w:rsidR="005B5B94">
        <w:rPr>
          <w:rStyle w:val="FootnoteReference"/>
          <w:rFonts w:ascii="Verdana" w:hAnsi="Verdana" w:cs="Calibri"/>
          <w:b/>
          <w:color w:val="4F81BD" w:themeColor="accent1"/>
          <w:sz w:val="20"/>
          <w:szCs w:val="20"/>
        </w:rPr>
        <w:footnoteReference w:id="1"/>
      </w:r>
      <w:r w:rsidRPr="00704B12">
        <w:rPr>
          <w:rFonts w:ascii="Verdana" w:hAnsi="Verdana" w:cs="Calibri"/>
          <w:b/>
          <w:color w:val="4F81BD" w:themeColor="accent1"/>
          <w:sz w:val="20"/>
          <w:szCs w:val="20"/>
        </w:rPr>
        <w:t xml:space="preserve"> does an adequate Gender analysis look like?</w:t>
      </w:r>
    </w:p>
    <w:p w14:paraId="0E85EA6A" w14:textId="77777777" w:rsidR="005B5B94" w:rsidRDefault="005B5B94" w:rsidP="005B5B94">
      <w:pPr>
        <w:spacing w:after="0" w:line="240" w:lineRule="auto"/>
        <w:jc w:val="both"/>
        <w:rPr>
          <w:rFonts w:ascii="Verdana" w:hAnsi="Verdana" w:cs="Calibri"/>
          <w:bCs/>
          <w:sz w:val="20"/>
          <w:szCs w:val="20"/>
        </w:rPr>
      </w:pPr>
    </w:p>
    <w:p w14:paraId="30C3F451" w14:textId="703D886C" w:rsidR="005B5B94" w:rsidRPr="00704B12" w:rsidRDefault="00A35631" w:rsidP="005B5B94">
      <w:pPr>
        <w:spacing w:after="0" w:line="240" w:lineRule="auto"/>
        <w:jc w:val="both"/>
        <w:rPr>
          <w:rFonts w:ascii="Verdana" w:hAnsi="Verdana" w:cs="Calibri"/>
          <w:bCs/>
          <w:sz w:val="20"/>
          <w:szCs w:val="20"/>
        </w:rPr>
      </w:pPr>
      <w:r w:rsidRPr="00704B12">
        <w:rPr>
          <w:rFonts w:ascii="Verdana" w:hAnsi="Verdana" w:cs="Calibri"/>
          <w:bCs/>
          <w:sz w:val="20"/>
          <w:szCs w:val="20"/>
        </w:rPr>
        <w:t xml:space="preserve">Gender analysis is the process of assessing the implications for women and men and girls and boys of any planned action. Gender analysis should highlight inequalities to reveal how gender equality can be promoted within a sector or focus area. An adequate gender </w:t>
      </w:r>
      <w:r w:rsidRPr="00704B12">
        <w:rPr>
          <w:rFonts w:ascii="Verdana" w:hAnsi="Verdana" w:cs="Calibri"/>
          <w:bCs/>
          <w:sz w:val="20"/>
          <w:szCs w:val="20"/>
        </w:rPr>
        <w:lastRenderedPageBreak/>
        <w:t xml:space="preserve">analysis reveals differences in rights, roles and responsibilities of women and men and girls and boys in a particular context and promotes alternative courses of action, for example examination of: </w:t>
      </w:r>
    </w:p>
    <w:p w14:paraId="1F2633F0" w14:textId="77777777" w:rsidR="002E7CA1" w:rsidRPr="00704B12" w:rsidRDefault="00A35631" w:rsidP="005B5B94">
      <w:pPr>
        <w:pStyle w:val="ListParagraph"/>
        <w:numPr>
          <w:ilvl w:val="0"/>
          <w:numId w:val="11"/>
        </w:numPr>
        <w:spacing w:after="0" w:line="240" w:lineRule="auto"/>
        <w:jc w:val="both"/>
        <w:rPr>
          <w:rFonts w:ascii="Verdana" w:hAnsi="Verdana" w:cs="Calibri"/>
          <w:bCs/>
          <w:sz w:val="20"/>
          <w:szCs w:val="20"/>
        </w:rPr>
      </w:pPr>
      <w:r w:rsidRPr="00704B12">
        <w:rPr>
          <w:rFonts w:ascii="Verdana" w:hAnsi="Verdana" w:cs="Calibri"/>
          <w:bCs/>
          <w:sz w:val="20"/>
          <w:szCs w:val="20"/>
        </w:rPr>
        <w:t>Country and local level inequalities between women and men, and gender differentials in activities surrounding access to control over resources: such as income, time, technologies and services; and/or access to opportunities such as land, livestock, financial services, health and education, employment, information and communication, and benefits from development programming.</w:t>
      </w:r>
    </w:p>
    <w:p w14:paraId="17A3351D" w14:textId="77777777" w:rsidR="002E7CA1" w:rsidRPr="00704B12" w:rsidRDefault="00A35631" w:rsidP="005B5B94">
      <w:pPr>
        <w:pStyle w:val="ListParagraph"/>
        <w:numPr>
          <w:ilvl w:val="0"/>
          <w:numId w:val="11"/>
        </w:numPr>
        <w:spacing w:after="0" w:line="240" w:lineRule="auto"/>
        <w:jc w:val="both"/>
        <w:rPr>
          <w:rFonts w:ascii="Verdana" w:hAnsi="Verdana" w:cs="Calibri"/>
          <w:bCs/>
          <w:sz w:val="20"/>
          <w:szCs w:val="20"/>
        </w:rPr>
      </w:pPr>
      <w:r w:rsidRPr="00704B12">
        <w:rPr>
          <w:rFonts w:ascii="Verdana" w:hAnsi="Verdana" w:cs="Calibri"/>
          <w:bCs/>
          <w:sz w:val="20"/>
          <w:szCs w:val="20"/>
        </w:rPr>
        <w:t xml:space="preserve">Power and Decision Making such as women’s and men’s opportunities to input into and influence decision making. This examines the capacities of existing institutions and the mechanisms in place to promote gender equality among target groups. It also refers to one’s capacity to make decisions freely, and to exercise power over one’s body, whether in one’s household, community, municipality, or state. </w:t>
      </w:r>
    </w:p>
    <w:p w14:paraId="6B39527A" w14:textId="77777777" w:rsidR="002E7CA1" w:rsidRPr="00704B12" w:rsidRDefault="00A35631" w:rsidP="005B5B94">
      <w:pPr>
        <w:pStyle w:val="ListParagraph"/>
        <w:numPr>
          <w:ilvl w:val="0"/>
          <w:numId w:val="11"/>
        </w:numPr>
        <w:spacing w:after="0" w:line="240" w:lineRule="auto"/>
        <w:jc w:val="both"/>
        <w:rPr>
          <w:rFonts w:ascii="Verdana" w:hAnsi="Verdana" w:cs="Calibri"/>
          <w:bCs/>
          <w:sz w:val="20"/>
          <w:szCs w:val="20"/>
        </w:rPr>
      </w:pPr>
      <w:r w:rsidRPr="00704B12">
        <w:rPr>
          <w:rFonts w:ascii="Verdana" w:hAnsi="Verdana" w:cs="Calibri"/>
          <w:bCs/>
          <w:sz w:val="20"/>
          <w:szCs w:val="20"/>
        </w:rPr>
        <w:t xml:space="preserve">Legal rights and status: This </w:t>
      </w:r>
      <w:r w:rsidR="0089622A" w:rsidRPr="00704B12">
        <w:rPr>
          <w:rFonts w:ascii="Verdana" w:hAnsi="Verdana" w:cs="Calibri"/>
          <w:bCs/>
          <w:sz w:val="20"/>
          <w:szCs w:val="20"/>
        </w:rPr>
        <w:t>involve</w:t>
      </w:r>
      <w:r w:rsidRPr="00704B12">
        <w:rPr>
          <w:rFonts w:ascii="Verdana" w:hAnsi="Verdana" w:cs="Calibri"/>
          <w:bCs/>
          <w:sz w:val="20"/>
          <w:szCs w:val="20"/>
        </w:rPr>
        <w:t xml:space="preserve"> assessing how the country meets international human rights requirements/ frameworks such as CEDAW. It also includes assessing how women and men are regarded and treated by customary and formal legal codes, and the judicial system. This includes an assessment of state issued documentation such as identification cards, voter registration, and property titles. Substantive analysis will also include the right to inheritance, employment, atonement of wrongs, and legal representation. </w:t>
      </w:r>
    </w:p>
    <w:p w14:paraId="111E1453" w14:textId="77777777" w:rsidR="002E7CA1" w:rsidRPr="00704B12" w:rsidRDefault="00A35631" w:rsidP="005B5B94">
      <w:pPr>
        <w:pStyle w:val="ListParagraph"/>
        <w:numPr>
          <w:ilvl w:val="0"/>
          <w:numId w:val="11"/>
        </w:numPr>
        <w:spacing w:after="0" w:line="240" w:lineRule="auto"/>
        <w:jc w:val="both"/>
        <w:rPr>
          <w:rFonts w:ascii="Verdana" w:hAnsi="Verdana" w:cs="Calibri"/>
          <w:bCs/>
          <w:sz w:val="20"/>
          <w:szCs w:val="20"/>
        </w:rPr>
      </w:pPr>
      <w:r w:rsidRPr="00704B12">
        <w:rPr>
          <w:rFonts w:ascii="Verdana" w:hAnsi="Verdana" w:cs="Calibri"/>
          <w:bCs/>
          <w:sz w:val="20"/>
          <w:szCs w:val="20"/>
        </w:rPr>
        <w:t>Women’s priorities, restraints and motivations: This includes a review of the different, but equally significant, needs and interests of women and men; depictions of the barriers faced by women in seeking to meet their practical and strategic gender interests; and an identification of opportunities for greater gender equality and empowerment for women.</w:t>
      </w:r>
    </w:p>
    <w:p w14:paraId="49FE6D53" w14:textId="77777777" w:rsidR="002E7CA1" w:rsidRPr="00704B12" w:rsidRDefault="00A35631" w:rsidP="005B5B94">
      <w:pPr>
        <w:pStyle w:val="ListParagraph"/>
        <w:numPr>
          <w:ilvl w:val="0"/>
          <w:numId w:val="11"/>
        </w:numPr>
        <w:spacing w:after="0" w:line="240" w:lineRule="auto"/>
        <w:jc w:val="both"/>
        <w:rPr>
          <w:rFonts w:ascii="Verdana" w:hAnsi="Verdana" w:cs="Calibri"/>
          <w:bCs/>
          <w:sz w:val="20"/>
          <w:szCs w:val="20"/>
        </w:rPr>
      </w:pPr>
      <w:r w:rsidRPr="00704B12">
        <w:rPr>
          <w:rFonts w:ascii="Verdana" w:hAnsi="Verdana" w:cs="Calibri"/>
          <w:bCs/>
          <w:sz w:val="20"/>
          <w:szCs w:val="20"/>
        </w:rPr>
        <w:t xml:space="preserve">Customary and traditional beliefs: This involves examining the role these have in shaping and reinforcing gendered realities at community or societal level. </w:t>
      </w:r>
    </w:p>
    <w:p w14:paraId="262288A2" w14:textId="15E06C25" w:rsidR="005B5B94" w:rsidRPr="00103CE3" w:rsidRDefault="005B5B94" w:rsidP="00103CE3">
      <w:pPr>
        <w:spacing w:after="0" w:line="240" w:lineRule="auto"/>
        <w:jc w:val="both"/>
        <w:rPr>
          <w:rFonts w:ascii="Verdana" w:hAnsi="Verdana" w:cs="Calibri"/>
          <w:bCs/>
          <w:sz w:val="20"/>
          <w:szCs w:val="20"/>
        </w:rPr>
      </w:pPr>
    </w:p>
    <w:p w14:paraId="5DA1913F" w14:textId="77777777" w:rsidR="005B5B94" w:rsidRPr="00704B12" w:rsidRDefault="005B5B94" w:rsidP="005B5B94">
      <w:pPr>
        <w:pStyle w:val="ListParagraph"/>
        <w:spacing w:after="0" w:line="240" w:lineRule="auto"/>
        <w:jc w:val="both"/>
        <w:rPr>
          <w:rFonts w:ascii="Verdana" w:hAnsi="Verdana" w:cs="Calibri"/>
          <w:bCs/>
          <w:sz w:val="20"/>
          <w:szCs w:val="20"/>
        </w:rPr>
      </w:pPr>
    </w:p>
    <w:tbl>
      <w:tblPr>
        <w:tblStyle w:val="TableGrid"/>
        <w:tblW w:w="0" w:type="auto"/>
        <w:tblLook w:val="04A0" w:firstRow="1" w:lastRow="0" w:firstColumn="1" w:lastColumn="0" w:noHBand="0" w:noVBand="1"/>
      </w:tblPr>
      <w:tblGrid>
        <w:gridCol w:w="3004"/>
        <w:gridCol w:w="3006"/>
        <w:gridCol w:w="3006"/>
      </w:tblGrid>
      <w:tr w:rsidR="00A35631" w:rsidRPr="00704B12" w14:paraId="7975D927" w14:textId="77777777" w:rsidTr="002F0547">
        <w:tc>
          <w:tcPr>
            <w:tcW w:w="9016" w:type="dxa"/>
            <w:gridSpan w:val="3"/>
            <w:shd w:val="clear" w:color="auto" w:fill="548DD4" w:themeFill="text2" w:themeFillTint="99"/>
          </w:tcPr>
          <w:p w14:paraId="741C36F9" w14:textId="47CB8BC2" w:rsidR="00A35631" w:rsidRPr="00704B12" w:rsidRDefault="00A35631" w:rsidP="005B5B94">
            <w:pPr>
              <w:jc w:val="center"/>
              <w:rPr>
                <w:rFonts w:ascii="Verdana" w:hAnsi="Verdana" w:cs="Calibri"/>
                <w:b/>
                <w:color w:val="FFFFFF" w:themeColor="background1"/>
                <w:sz w:val="20"/>
                <w:szCs w:val="20"/>
              </w:rPr>
            </w:pPr>
            <w:r w:rsidRPr="00704B12">
              <w:rPr>
                <w:rFonts w:ascii="Verdana" w:hAnsi="Verdana" w:cs="Calibri"/>
                <w:b/>
                <w:color w:val="FFFFFF" w:themeColor="background1"/>
                <w:sz w:val="20"/>
                <w:szCs w:val="20"/>
              </w:rPr>
              <w:t>Indicator 1.</w:t>
            </w:r>
            <w:r w:rsidR="002E7CA1" w:rsidRPr="00704B12">
              <w:rPr>
                <w:rFonts w:ascii="Verdana" w:hAnsi="Verdana" w:cs="Calibri"/>
                <w:b/>
                <w:color w:val="FFFFFF" w:themeColor="background1"/>
                <w:sz w:val="20"/>
                <w:szCs w:val="20"/>
              </w:rPr>
              <w:t>2</w:t>
            </w:r>
            <w:r w:rsidRPr="00704B12">
              <w:rPr>
                <w:rFonts w:ascii="Verdana" w:hAnsi="Verdana" w:cs="Calibri"/>
                <w:b/>
                <w:color w:val="FFFFFF" w:themeColor="background1"/>
                <w:sz w:val="20"/>
                <w:szCs w:val="20"/>
              </w:rPr>
              <w:t xml:space="preserve">. </w:t>
            </w:r>
            <w:r w:rsidR="002E7CA1" w:rsidRPr="00704B12">
              <w:rPr>
                <w:rFonts w:ascii="Verdana" w:hAnsi="Verdana" w:cs="Calibri"/>
                <w:b/>
                <w:color w:val="FFFFFF" w:themeColor="background1"/>
                <w:sz w:val="20"/>
                <w:szCs w:val="20"/>
              </w:rPr>
              <w:t xml:space="preserve">Gender Equality </w:t>
            </w:r>
            <w:r w:rsidR="004341FA">
              <w:rPr>
                <w:rFonts w:ascii="Verdana" w:hAnsi="Verdana" w:cs="Calibri"/>
                <w:b/>
                <w:color w:val="FFFFFF" w:themeColor="background1"/>
                <w:sz w:val="20"/>
                <w:szCs w:val="20"/>
              </w:rPr>
              <w:t>m</w:t>
            </w:r>
            <w:r w:rsidR="002E7CA1" w:rsidRPr="00704B12">
              <w:rPr>
                <w:rFonts w:ascii="Verdana" w:hAnsi="Verdana" w:cs="Calibri"/>
                <w:b/>
                <w:color w:val="FFFFFF" w:themeColor="background1"/>
                <w:sz w:val="20"/>
                <w:szCs w:val="20"/>
              </w:rPr>
              <w:t>ainstreamed in propos</w:t>
            </w:r>
            <w:r w:rsidR="00433BFD">
              <w:rPr>
                <w:rFonts w:ascii="Verdana" w:hAnsi="Verdana" w:cs="Calibri"/>
                <w:b/>
                <w:color w:val="FFFFFF" w:themeColor="background1"/>
                <w:sz w:val="20"/>
                <w:szCs w:val="20"/>
              </w:rPr>
              <w:t>ed</w:t>
            </w:r>
            <w:r w:rsidR="002E7CA1" w:rsidRPr="00704B12">
              <w:rPr>
                <w:rFonts w:ascii="Verdana" w:hAnsi="Verdana" w:cs="Calibri"/>
                <w:b/>
                <w:color w:val="FFFFFF" w:themeColor="background1"/>
                <w:sz w:val="20"/>
                <w:szCs w:val="20"/>
              </w:rPr>
              <w:t xml:space="preserve"> </w:t>
            </w:r>
            <w:r w:rsidR="00D04D5A" w:rsidRPr="00704B12">
              <w:rPr>
                <w:rFonts w:ascii="Verdana" w:hAnsi="Verdana" w:cs="Calibri"/>
                <w:b/>
                <w:color w:val="FFFFFF" w:themeColor="background1"/>
                <w:sz w:val="20"/>
                <w:szCs w:val="20"/>
              </w:rPr>
              <w:t>outputs</w:t>
            </w:r>
          </w:p>
        </w:tc>
      </w:tr>
      <w:tr w:rsidR="00A35631" w:rsidRPr="00704B12" w14:paraId="3E371CA9" w14:textId="77777777" w:rsidTr="002F0547">
        <w:tc>
          <w:tcPr>
            <w:tcW w:w="3004" w:type="dxa"/>
          </w:tcPr>
          <w:p w14:paraId="3918A02F" w14:textId="77777777" w:rsidR="00A35631" w:rsidRPr="00704B12" w:rsidRDefault="00A35631" w:rsidP="005B5B94">
            <w:pPr>
              <w:jc w:val="center"/>
              <w:rPr>
                <w:rFonts w:ascii="Verdana" w:hAnsi="Verdana" w:cs="Calibri"/>
                <w:b/>
                <w:sz w:val="18"/>
                <w:szCs w:val="18"/>
              </w:rPr>
            </w:pPr>
            <w:r w:rsidRPr="00704B12">
              <w:rPr>
                <w:rFonts w:ascii="Verdana" w:hAnsi="Verdana" w:cs="Calibri"/>
                <w:b/>
                <w:sz w:val="18"/>
                <w:szCs w:val="18"/>
              </w:rPr>
              <w:t>Approach minimum requirements</w:t>
            </w:r>
          </w:p>
        </w:tc>
        <w:tc>
          <w:tcPr>
            <w:tcW w:w="3006" w:type="dxa"/>
          </w:tcPr>
          <w:p w14:paraId="00C5FE06" w14:textId="77777777" w:rsidR="00A35631" w:rsidRPr="00704B12" w:rsidRDefault="00A35631" w:rsidP="005B5B94">
            <w:pPr>
              <w:jc w:val="center"/>
              <w:rPr>
                <w:rFonts w:ascii="Verdana" w:hAnsi="Verdana" w:cs="Calibri"/>
                <w:b/>
                <w:sz w:val="18"/>
                <w:szCs w:val="18"/>
              </w:rPr>
            </w:pPr>
            <w:r w:rsidRPr="00704B12">
              <w:rPr>
                <w:rFonts w:ascii="Verdana" w:hAnsi="Verdana" w:cs="Calibri"/>
                <w:b/>
                <w:sz w:val="18"/>
                <w:szCs w:val="18"/>
              </w:rPr>
              <w:t>Meets Minimum Requirements</w:t>
            </w:r>
          </w:p>
        </w:tc>
        <w:tc>
          <w:tcPr>
            <w:tcW w:w="3006" w:type="dxa"/>
          </w:tcPr>
          <w:p w14:paraId="46AEE294" w14:textId="77777777" w:rsidR="00A35631" w:rsidRPr="00704B12" w:rsidRDefault="00A35631" w:rsidP="005B5B94">
            <w:pPr>
              <w:jc w:val="center"/>
              <w:rPr>
                <w:rFonts w:ascii="Verdana" w:hAnsi="Verdana" w:cs="Calibri"/>
                <w:b/>
                <w:sz w:val="18"/>
                <w:szCs w:val="18"/>
              </w:rPr>
            </w:pPr>
            <w:r w:rsidRPr="00704B12">
              <w:rPr>
                <w:rFonts w:ascii="Verdana" w:hAnsi="Verdana" w:cs="Calibri"/>
                <w:b/>
                <w:sz w:val="18"/>
                <w:szCs w:val="18"/>
              </w:rPr>
              <w:t>Exceed Minimum Requirements</w:t>
            </w:r>
          </w:p>
        </w:tc>
      </w:tr>
      <w:tr w:rsidR="00A35631" w:rsidRPr="00704B12" w14:paraId="1B5FC97C" w14:textId="77777777" w:rsidTr="002F0547">
        <w:tc>
          <w:tcPr>
            <w:tcW w:w="3004" w:type="dxa"/>
          </w:tcPr>
          <w:p w14:paraId="63535CFA" w14:textId="6DE33068" w:rsidR="00A35631" w:rsidRPr="00F67DEB" w:rsidRDefault="00D04D5A" w:rsidP="005B5B94">
            <w:pPr>
              <w:rPr>
                <w:rFonts w:ascii="Verdana" w:hAnsi="Verdana" w:cs="Calibri"/>
                <w:bCs/>
                <w:sz w:val="18"/>
                <w:szCs w:val="18"/>
              </w:rPr>
            </w:pPr>
            <w:r w:rsidRPr="00F67DEB">
              <w:rPr>
                <w:rFonts w:ascii="Verdana" w:hAnsi="Verdana" w:cs="Calibri"/>
                <w:bCs/>
                <w:sz w:val="18"/>
                <w:szCs w:val="18"/>
              </w:rPr>
              <w:t xml:space="preserve">a) </w:t>
            </w:r>
            <w:r w:rsidR="002E7CA1" w:rsidRPr="00F67DEB">
              <w:rPr>
                <w:rFonts w:ascii="Verdana" w:hAnsi="Verdana" w:cs="Calibri"/>
                <w:bCs/>
                <w:sz w:val="18"/>
                <w:szCs w:val="18"/>
              </w:rPr>
              <w:t xml:space="preserve">Gender equality and the empowerment of women is visibly mainstreamed across </w:t>
            </w:r>
            <w:r w:rsidR="002E7CA1" w:rsidRPr="00F67DEB">
              <w:rPr>
                <w:rFonts w:ascii="Verdana" w:hAnsi="Verdana" w:cs="Calibri"/>
                <w:b/>
                <w:sz w:val="18"/>
                <w:szCs w:val="18"/>
              </w:rPr>
              <w:t>some</w:t>
            </w:r>
            <w:r w:rsidR="002E7CA1" w:rsidRPr="00F67DEB">
              <w:rPr>
                <w:rFonts w:ascii="Verdana" w:hAnsi="Verdana" w:cs="Calibri"/>
                <w:bCs/>
                <w:sz w:val="18"/>
                <w:szCs w:val="18"/>
              </w:rPr>
              <w:t xml:space="preserve"> out</w:t>
            </w:r>
            <w:r w:rsidR="009B52E9">
              <w:rPr>
                <w:rFonts w:ascii="Verdana" w:hAnsi="Verdana" w:cs="Calibri"/>
                <w:bCs/>
                <w:sz w:val="18"/>
                <w:szCs w:val="18"/>
              </w:rPr>
              <w:t xml:space="preserve">put </w:t>
            </w:r>
            <w:r w:rsidR="002E7CA1" w:rsidRPr="00F67DEB">
              <w:rPr>
                <w:rFonts w:ascii="Verdana" w:hAnsi="Verdana" w:cs="Calibri"/>
                <w:bCs/>
                <w:sz w:val="18"/>
                <w:szCs w:val="18"/>
              </w:rPr>
              <w:t>areas in line with SDG priorities including SDG 5.</w:t>
            </w:r>
          </w:p>
        </w:tc>
        <w:tc>
          <w:tcPr>
            <w:tcW w:w="3006" w:type="dxa"/>
          </w:tcPr>
          <w:p w14:paraId="1022DE01" w14:textId="73CA92A0" w:rsidR="002E7CA1" w:rsidRPr="00F67DEB" w:rsidRDefault="002E7CA1" w:rsidP="005B5B94">
            <w:pPr>
              <w:rPr>
                <w:rFonts w:ascii="Verdana" w:hAnsi="Verdana" w:cs="Calibri"/>
                <w:bCs/>
                <w:sz w:val="18"/>
                <w:szCs w:val="18"/>
              </w:rPr>
            </w:pPr>
            <w:r w:rsidRPr="00F67DEB">
              <w:rPr>
                <w:rFonts w:ascii="Verdana" w:hAnsi="Verdana" w:cs="Calibri"/>
                <w:bCs/>
                <w:sz w:val="18"/>
                <w:szCs w:val="18"/>
              </w:rPr>
              <w:t xml:space="preserve">a) Gender equality and the empowerment of women is visibly mainstreamed across </w:t>
            </w:r>
            <w:r w:rsidRPr="00F67DEB">
              <w:rPr>
                <w:rFonts w:ascii="Verdana" w:hAnsi="Verdana" w:cs="Calibri"/>
                <w:b/>
                <w:sz w:val="18"/>
                <w:szCs w:val="18"/>
              </w:rPr>
              <w:t>all</w:t>
            </w:r>
            <w:r w:rsidRPr="00F67DEB">
              <w:rPr>
                <w:rFonts w:ascii="Verdana" w:hAnsi="Verdana" w:cs="Calibri"/>
                <w:bCs/>
                <w:sz w:val="18"/>
                <w:szCs w:val="18"/>
              </w:rPr>
              <w:t xml:space="preserve"> out</w:t>
            </w:r>
            <w:r w:rsidR="009B52E9">
              <w:rPr>
                <w:rFonts w:ascii="Verdana" w:hAnsi="Verdana" w:cs="Calibri"/>
                <w:bCs/>
                <w:sz w:val="18"/>
                <w:szCs w:val="18"/>
              </w:rPr>
              <w:t>put</w:t>
            </w:r>
            <w:r w:rsidRPr="00F67DEB">
              <w:rPr>
                <w:rFonts w:ascii="Verdana" w:hAnsi="Verdana" w:cs="Calibri"/>
                <w:bCs/>
                <w:sz w:val="18"/>
                <w:szCs w:val="18"/>
              </w:rPr>
              <w:t xml:space="preserve"> areas in line with SDG priorities including SDG 5. </w:t>
            </w:r>
          </w:p>
          <w:p w14:paraId="24AB9785" w14:textId="77777777" w:rsidR="002E7CA1" w:rsidRPr="00F67DEB" w:rsidRDefault="002E7CA1" w:rsidP="005B5B94">
            <w:pPr>
              <w:rPr>
                <w:rFonts w:ascii="Verdana" w:hAnsi="Verdana" w:cs="Calibri"/>
                <w:b/>
                <w:sz w:val="18"/>
                <w:szCs w:val="18"/>
              </w:rPr>
            </w:pPr>
            <w:r w:rsidRPr="00F67DEB">
              <w:rPr>
                <w:rFonts w:ascii="Verdana" w:hAnsi="Verdana" w:cs="Calibri"/>
                <w:b/>
                <w:sz w:val="18"/>
                <w:szCs w:val="18"/>
              </w:rPr>
              <w:t>Or</w:t>
            </w:r>
          </w:p>
          <w:p w14:paraId="65E083E9" w14:textId="14202696" w:rsidR="00A35631" w:rsidRPr="00F67DEB" w:rsidRDefault="002E7CA1" w:rsidP="005B5B94">
            <w:pPr>
              <w:rPr>
                <w:rFonts w:ascii="Verdana" w:hAnsi="Verdana" w:cs="Calibri"/>
                <w:bCs/>
                <w:sz w:val="18"/>
                <w:szCs w:val="18"/>
              </w:rPr>
            </w:pPr>
            <w:r w:rsidRPr="00F67DEB">
              <w:rPr>
                <w:rFonts w:ascii="Verdana" w:hAnsi="Verdana" w:cs="Calibri"/>
                <w:bCs/>
                <w:sz w:val="18"/>
                <w:szCs w:val="18"/>
              </w:rPr>
              <w:t xml:space="preserve">b)  One </w:t>
            </w:r>
            <w:r w:rsidR="00CC1C69" w:rsidRPr="00F67DEB">
              <w:rPr>
                <w:rFonts w:ascii="Verdana" w:hAnsi="Verdana" w:cs="Calibri"/>
                <w:bCs/>
                <w:sz w:val="18"/>
                <w:szCs w:val="18"/>
              </w:rPr>
              <w:t>program</w:t>
            </w:r>
            <w:r w:rsidRPr="00F67DEB">
              <w:rPr>
                <w:rFonts w:ascii="Verdana" w:hAnsi="Verdana" w:cs="Calibri"/>
                <w:bCs/>
                <w:sz w:val="18"/>
                <w:szCs w:val="18"/>
              </w:rPr>
              <w:t xml:space="preserve"> out</w:t>
            </w:r>
            <w:r w:rsidR="009B52E9">
              <w:rPr>
                <w:rFonts w:ascii="Verdana" w:hAnsi="Verdana" w:cs="Calibri"/>
                <w:bCs/>
                <w:sz w:val="18"/>
                <w:szCs w:val="18"/>
              </w:rPr>
              <w:t>put</w:t>
            </w:r>
            <w:r w:rsidRPr="00F67DEB">
              <w:rPr>
                <w:rFonts w:ascii="Verdana" w:hAnsi="Verdana" w:cs="Calibri"/>
                <w:bCs/>
                <w:sz w:val="18"/>
                <w:szCs w:val="18"/>
              </w:rPr>
              <w:t xml:space="preserve"> specifically targets gender equality </w:t>
            </w:r>
            <w:r w:rsidR="00CC1C69" w:rsidRPr="00F67DEB">
              <w:rPr>
                <w:rFonts w:ascii="Verdana" w:hAnsi="Verdana" w:cs="Calibri"/>
                <w:bCs/>
                <w:sz w:val="18"/>
                <w:szCs w:val="18"/>
              </w:rPr>
              <w:t xml:space="preserve">in line with </w:t>
            </w:r>
            <w:r w:rsidRPr="00F67DEB">
              <w:rPr>
                <w:rFonts w:ascii="Verdana" w:hAnsi="Verdana" w:cs="Calibri"/>
                <w:bCs/>
                <w:sz w:val="18"/>
                <w:szCs w:val="18"/>
              </w:rPr>
              <w:t>SDG priorities including SDG 5.</w:t>
            </w:r>
          </w:p>
        </w:tc>
        <w:tc>
          <w:tcPr>
            <w:tcW w:w="3006" w:type="dxa"/>
          </w:tcPr>
          <w:p w14:paraId="71315D21" w14:textId="3C993671" w:rsidR="002E7CA1" w:rsidRPr="00F67DEB" w:rsidRDefault="002E7CA1" w:rsidP="005B5B94">
            <w:pPr>
              <w:rPr>
                <w:rFonts w:ascii="Verdana" w:hAnsi="Verdana" w:cs="Calibri"/>
                <w:bCs/>
                <w:sz w:val="18"/>
                <w:szCs w:val="18"/>
              </w:rPr>
            </w:pPr>
            <w:r w:rsidRPr="00F67DEB">
              <w:rPr>
                <w:rFonts w:ascii="Verdana" w:hAnsi="Verdana" w:cs="Calibri"/>
                <w:bCs/>
                <w:sz w:val="18"/>
                <w:szCs w:val="18"/>
              </w:rPr>
              <w:t xml:space="preserve">a)  Gender equality and the empowerment of women is visibly mainstreamed across </w:t>
            </w:r>
            <w:r w:rsidRPr="00F67DEB">
              <w:rPr>
                <w:rFonts w:ascii="Verdana" w:hAnsi="Verdana" w:cs="Calibri"/>
                <w:b/>
                <w:sz w:val="18"/>
                <w:szCs w:val="18"/>
              </w:rPr>
              <w:t>all</w:t>
            </w:r>
            <w:r w:rsidRPr="00F67DEB">
              <w:rPr>
                <w:rFonts w:ascii="Verdana" w:hAnsi="Verdana" w:cs="Calibri"/>
                <w:bCs/>
                <w:sz w:val="18"/>
                <w:szCs w:val="18"/>
              </w:rPr>
              <w:t xml:space="preserve"> out</w:t>
            </w:r>
            <w:r w:rsidR="009B52E9">
              <w:rPr>
                <w:rFonts w:ascii="Verdana" w:hAnsi="Verdana" w:cs="Calibri"/>
                <w:bCs/>
                <w:sz w:val="18"/>
                <w:szCs w:val="18"/>
              </w:rPr>
              <w:t>pu</w:t>
            </w:r>
            <w:r w:rsidRPr="00F67DEB">
              <w:rPr>
                <w:rFonts w:ascii="Verdana" w:hAnsi="Verdana" w:cs="Calibri"/>
                <w:bCs/>
                <w:sz w:val="18"/>
                <w:szCs w:val="18"/>
              </w:rPr>
              <w:t xml:space="preserve"> areas in line with SDG priorities including SDG 5. </w:t>
            </w:r>
          </w:p>
          <w:p w14:paraId="0DCEB2E0" w14:textId="77777777" w:rsidR="002E7CA1" w:rsidRPr="00F67DEB" w:rsidRDefault="002E7CA1" w:rsidP="005B5B94">
            <w:pPr>
              <w:rPr>
                <w:rFonts w:ascii="Verdana" w:hAnsi="Verdana" w:cs="Calibri"/>
                <w:b/>
                <w:sz w:val="18"/>
                <w:szCs w:val="18"/>
              </w:rPr>
            </w:pPr>
            <w:r w:rsidRPr="00F67DEB">
              <w:rPr>
                <w:rFonts w:ascii="Verdana" w:hAnsi="Verdana" w:cs="Calibri"/>
                <w:b/>
                <w:sz w:val="18"/>
                <w:szCs w:val="18"/>
              </w:rPr>
              <w:t xml:space="preserve">and </w:t>
            </w:r>
          </w:p>
          <w:p w14:paraId="4DB106D4" w14:textId="6876B021" w:rsidR="00A35631" w:rsidRPr="00F67DEB" w:rsidRDefault="002E7CA1" w:rsidP="005B5B94">
            <w:pPr>
              <w:rPr>
                <w:rFonts w:ascii="Verdana" w:hAnsi="Verdana" w:cs="Calibri"/>
                <w:bCs/>
                <w:sz w:val="18"/>
                <w:szCs w:val="18"/>
              </w:rPr>
            </w:pPr>
            <w:r w:rsidRPr="00F67DEB">
              <w:rPr>
                <w:rFonts w:ascii="Verdana" w:hAnsi="Verdana" w:cs="Calibri"/>
                <w:bCs/>
                <w:sz w:val="18"/>
                <w:szCs w:val="18"/>
              </w:rPr>
              <w:t xml:space="preserve">b)  One </w:t>
            </w:r>
            <w:r w:rsidR="00CC1C69" w:rsidRPr="00F67DEB">
              <w:rPr>
                <w:rFonts w:ascii="Verdana" w:hAnsi="Verdana" w:cs="Calibri"/>
                <w:bCs/>
                <w:sz w:val="18"/>
                <w:szCs w:val="18"/>
              </w:rPr>
              <w:t>program</w:t>
            </w:r>
            <w:r w:rsidRPr="00F67DEB">
              <w:rPr>
                <w:rFonts w:ascii="Verdana" w:hAnsi="Verdana" w:cs="Calibri"/>
                <w:bCs/>
                <w:sz w:val="18"/>
                <w:szCs w:val="18"/>
              </w:rPr>
              <w:t xml:space="preserve"> out</w:t>
            </w:r>
            <w:r w:rsidR="009B52E9">
              <w:rPr>
                <w:rFonts w:ascii="Verdana" w:hAnsi="Verdana" w:cs="Calibri"/>
                <w:bCs/>
                <w:sz w:val="18"/>
                <w:szCs w:val="18"/>
              </w:rPr>
              <w:t>put</w:t>
            </w:r>
            <w:r w:rsidRPr="00F67DEB">
              <w:rPr>
                <w:rFonts w:ascii="Verdana" w:hAnsi="Verdana" w:cs="Calibri"/>
                <w:bCs/>
                <w:sz w:val="18"/>
                <w:szCs w:val="18"/>
              </w:rPr>
              <w:t xml:space="preserve"> specifically targets gender equality in line with SDG priorities including SDG 5.</w:t>
            </w:r>
          </w:p>
        </w:tc>
      </w:tr>
    </w:tbl>
    <w:p w14:paraId="44C1650D" w14:textId="77777777" w:rsidR="002E7CA1" w:rsidRPr="00704B12" w:rsidRDefault="002E7CA1" w:rsidP="005B5B94">
      <w:pPr>
        <w:spacing w:after="0" w:line="240" w:lineRule="auto"/>
        <w:jc w:val="both"/>
        <w:rPr>
          <w:rFonts w:ascii="Verdana" w:hAnsi="Verdana" w:cs="Calibri"/>
          <w:b/>
          <w:color w:val="4F81BD" w:themeColor="accent1"/>
          <w:sz w:val="20"/>
          <w:szCs w:val="20"/>
        </w:rPr>
      </w:pPr>
    </w:p>
    <w:p w14:paraId="4A4E76BE" w14:textId="1B79612D" w:rsidR="002E7CA1" w:rsidRPr="00704B12" w:rsidRDefault="002E7CA1" w:rsidP="005B5B94">
      <w:pPr>
        <w:spacing w:after="0" w:line="240" w:lineRule="auto"/>
        <w:jc w:val="both"/>
        <w:rPr>
          <w:rFonts w:ascii="Verdana" w:hAnsi="Verdana" w:cs="Calibri"/>
          <w:b/>
          <w:color w:val="4F81BD" w:themeColor="accent1"/>
          <w:sz w:val="20"/>
          <w:szCs w:val="20"/>
        </w:rPr>
      </w:pPr>
      <w:r w:rsidRPr="00704B12">
        <w:rPr>
          <w:rFonts w:ascii="Verdana" w:hAnsi="Verdana" w:cs="Calibri"/>
          <w:b/>
          <w:color w:val="4F81BD" w:themeColor="accent1"/>
          <w:sz w:val="20"/>
          <w:szCs w:val="20"/>
        </w:rPr>
        <w:t>How</w:t>
      </w:r>
      <w:r w:rsidR="005B5B94">
        <w:rPr>
          <w:rStyle w:val="FootnoteReference"/>
          <w:rFonts w:ascii="Verdana" w:hAnsi="Verdana" w:cs="Calibri"/>
          <w:b/>
          <w:color w:val="4F81BD" w:themeColor="accent1"/>
          <w:sz w:val="20"/>
          <w:szCs w:val="20"/>
        </w:rPr>
        <w:footnoteReference w:id="2"/>
      </w:r>
      <w:r w:rsidRPr="00704B12">
        <w:rPr>
          <w:rFonts w:ascii="Verdana" w:hAnsi="Verdana" w:cs="Calibri"/>
          <w:b/>
          <w:color w:val="4F81BD" w:themeColor="accent1"/>
          <w:sz w:val="20"/>
          <w:szCs w:val="20"/>
        </w:rPr>
        <w:t xml:space="preserve"> to meet requirements</w:t>
      </w:r>
    </w:p>
    <w:p w14:paraId="6619F637" w14:textId="77777777" w:rsidR="005B5B94" w:rsidRDefault="005B5B94" w:rsidP="005B5B94">
      <w:pPr>
        <w:spacing w:after="0" w:line="240" w:lineRule="auto"/>
        <w:jc w:val="both"/>
        <w:rPr>
          <w:rFonts w:ascii="Verdana" w:hAnsi="Verdana" w:cs="Calibri"/>
          <w:bCs/>
          <w:sz w:val="20"/>
          <w:szCs w:val="20"/>
        </w:rPr>
      </w:pPr>
    </w:p>
    <w:p w14:paraId="3F2E3AC1" w14:textId="148C05B9" w:rsidR="002E7CA1" w:rsidRPr="00704B12" w:rsidRDefault="002E7CA1" w:rsidP="005B5B94">
      <w:pPr>
        <w:spacing w:after="0" w:line="240" w:lineRule="auto"/>
        <w:jc w:val="both"/>
        <w:rPr>
          <w:rFonts w:ascii="Verdana" w:hAnsi="Verdana" w:cs="Calibri"/>
          <w:bCs/>
          <w:sz w:val="20"/>
          <w:szCs w:val="20"/>
        </w:rPr>
      </w:pPr>
      <w:r w:rsidRPr="00704B12">
        <w:rPr>
          <w:rFonts w:ascii="Verdana" w:hAnsi="Verdana" w:cs="Calibri"/>
          <w:bCs/>
          <w:sz w:val="20"/>
          <w:szCs w:val="20"/>
        </w:rPr>
        <w:t>To meet requirements there should either be a targeted out</w:t>
      </w:r>
      <w:r w:rsidR="004341FA">
        <w:rPr>
          <w:rFonts w:ascii="Verdana" w:hAnsi="Verdana" w:cs="Calibri"/>
          <w:bCs/>
          <w:sz w:val="20"/>
          <w:szCs w:val="20"/>
        </w:rPr>
        <w:t>put</w:t>
      </w:r>
      <w:r w:rsidRPr="00704B12">
        <w:rPr>
          <w:rFonts w:ascii="Verdana" w:hAnsi="Verdana" w:cs="Calibri"/>
          <w:bCs/>
          <w:sz w:val="20"/>
          <w:szCs w:val="20"/>
        </w:rPr>
        <w:t xml:space="preserve"> specific to gender, or gender equality should be mainstreamed across all </w:t>
      </w:r>
      <w:r w:rsidR="000448B9" w:rsidRPr="00704B12">
        <w:rPr>
          <w:rFonts w:ascii="Verdana" w:hAnsi="Verdana" w:cs="Calibri"/>
          <w:bCs/>
          <w:sz w:val="20"/>
          <w:szCs w:val="20"/>
        </w:rPr>
        <w:t>Program documents</w:t>
      </w:r>
      <w:r w:rsidRPr="00704B12">
        <w:rPr>
          <w:rFonts w:ascii="Verdana" w:hAnsi="Verdana" w:cs="Calibri"/>
          <w:bCs/>
          <w:sz w:val="20"/>
          <w:szCs w:val="20"/>
        </w:rPr>
        <w:t xml:space="preserve"> </w:t>
      </w:r>
      <w:r w:rsidR="00D04D5A" w:rsidRPr="00704B12">
        <w:rPr>
          <w:rFonts w:ascii="Verdana" w:hAnsi="Verdana" w:cs="Calibri"/>
          <w:bCs/>
          <w:sz w:val="20"/>
          <w:szCs w:val="20"/>
        </w:rPr>
        <w:t>outputs</w:t>
      </w:r>
      <w:r w:rsidRPr="00704B12">
        <w:rPr>
          <w:rFonts w:ascii="Verdana" w:hAnsi="Verdana" w:cs="Calibri"/>
          <w:bCs/>
          <w:sz w:val="20"/>
          <w:szCs w:val="20"/>
        </w:rPr>
        <w:t>.</w:t>
      </w:r>
    </w:p>
    <w:p w14:paraId="6B90CEE2" w14:textId="77777777" w:rsidR="000448B9" w:rsidRPr="00704B12" w:rsidRDefault="000448B9" w:rsidP="005B5B94">
      <w:pPr>
        <w:spacing w:after="0" w:line="240" w:lineRule="auto"/>
        <w:jc w:val="both"/>
        <w:rPr>
          <w:rFonts w:ascii="Verdana" w:hAnsi="Verdana" w:cs="Calibri"/>
          <w:bCs/>
          <w:sz w:val="20"/>
          <w:szCs w:val="20"/>
        </w:rPr>
      </w:pPr>
    </w:p>
    <w:p w14:paraId="2D5DACF6" w14:textId="7D19FF80" w:rsidR="002E7CA1" w:rsidRPr="00704B12" w:rsidRDefault="002E7CA1" w:rsidP="005B5B94">
      <w:pPr>
        <w:spacing w:after="0" w:line="240" w:lineRule="auto"/>
        <w:jc w:val="both"/>
        <w:rPr>
          <w:rFonts w:ascii="Verdana" w:hAnsi="Verdana" w:cs="Calibri"/>
          <w:bCs/>
          <w:sz w:val="20"/>
          <w:szCs w:val="20"/>
        </w:rPr>
      </w:pPr>
      <w:r w:rsidRPr="00704B12">
        <w:rPr>
          <w:rFonts w:ascii="Verdana" w:hAnsi="Verdana" w:cs="Calibri"/>
          <w:bCs/>
          <w:i/>
          <w:iCs/>
          <w:sz w:val="20"/>
          <w:szCs w:val="20"/>
        </w:rPr>
        <w:t>Criterion (a):</w:t>
      </w:r>
      <w:r w:rsidRPr="00704B12">
        <w:rPr>
          <w:rFonts w:ascii="Verdana" w:hAnsi="Verdana" w:cs="Calibri"/>
          <w:bCs/>
          <w:sz w:val="20"/>
          <w:szCs w:val="20"/>
        </w:rPr>
        <w:t xml:space="preserve"> All </w:t>
      </w:r>
      <w:r w:rsidR="000448B9" w:rsidRPr="00704B12">
        <w:rPr>
          <w:rFonts w:ascii="Verdana" w:hAnsi="Verdana" w:cs="Calibri"/>
          <w:bCs/>
          <w:sz w:val="20"/>
          <w:szCs w:val="20"/>
        </w:rPr>
        <w:t>program</w:t>
      </w:r>
      <w:r w:rsidRPr="00704B12">
        <w:rPr>
          <w:rFonts w:ascii="Verdana" w:hAnsi="Verdana" w:cs="Calibri"/>
          <w:bCs/>
          <w:sz w:val="20"/>
          <w:szCs w:val="20"/>
        </w:rPr>
        <w:t xml:space="preserve"> out</w:t>
      </w:r>
      <w:r w:rsidR="004341FA">
        <w:rPr>
          <w:rFonts w:ascii="Verdana" w:hAnsi="Verdana" w:cs="Calibri"/>
          <w:bCs/>
          <w:sz w:val="20"/>
          <w:szCs w:val="20"/>
        </w:rPr>
        <w:t>puts</w:t>
      </w:r>
      <w:r w:rsidRPr="00704B12">
        <w:rPr>
          <w:rFonts w:ascii="Verdana" w:hAnsi="Verdana" w:cs="Calibri"/>
          <w:bCs/>
          <w:sz w:val="20"/>
          <w:szCs w:val="20"/>
        </w:rPr>
        <w:t xml:space="preserve"> should include explicit reference (that is, visible mainstreaming) to gender equality, even though gender equality is not the core purpose of the </w:t>
      </w:r>
      <w:r w:rsidR="00D04D5A" w:rsidRPr="00704B12">
        <w:rPr>
          <w:rFonts w:ascii="Verdana" w:hAnsi="Verdana" w:cs="Calibri"/>
          <w:bCs/>
          <w:sz w:val="20"/>
          <w:szCs w:val="20"/>
        </w:rPr>
        <w:t>output</w:t>
      </w:r>
      <w:r w:rsidRPr="00704B12">
        <w:rPr>
          <w:rFonts w:ascii="Verdana" w:hAnsi="Verdana" w:cs="Calibri"/>
          <w:bCs/>
          <w:sz w:val="20"/>
          <w:szCs w:val="20"/>
        </w:rPr>
        <w:t xml:space="preserve">. Score the indicator as ‘meets minimum requirements’ if all </w:t>
      </w:r>
      <w:r w:rsidR="009B52E9">
        <w:rPr>
          <w:rFonts w:ascii="Verdana" w:hAnsi="Verdana" w:cs="Calibri"/>
          <w:bCs/>
          <w:sz w:val="20"/>
          <w:szCs w:val="20"/>
        </w:rPr>
        <w:t>output</w:t>
      </w:r>
      <w:r w:rsidRPr="00704B12">
        <w:rPr>
          <w:rFonts w:ascii="Verdana" w:hAnsi="Verdana" w:cs="Calibri"/>
          <w:bCs/>
          <w:sz w:val="20"/>
          <w:szCs w:val="20"/>
        </w:rPr>
        <w:t xml:space="preserve">s articulate </w:t>
      </w:r>
      <w:r w:rsidR="00CB34DA" w:rsidRPr="00704B12">
        <w:rPr>
          <w:rFonts w:ascii="Verdana" w:hAnsi="Verdana" w:cs="Calibri"/>
          <w:bCs/>
          <w:sz w:val="20"/>
          <w:szCs w:val="20"/>
        </w:rPr>
        <w:t>GEWE</w:t>
      </w:r>
      <w:r w:rsidRPr="00704B12">
        <w:rPr>
          <w:rFonts w:ascii="Verdana" w:hAnsi="Verdana" w:cs="Calibri"/>
          <w:bCs/>
          <w:sz w:val="20"/>
          <w:szCs w:val="20"/>
        </w:rPr>
        <w:t xml:space="preserve"> and there is a clear link to the SDGs, including SDG 5. Omission of gender equality articulation in even a single </w:t>
      </w:r>
      <w:r w:rsidR="00CB34DA" w:rsidRPr="00704B12">
        <w:rPr>
          <w:rFonts w:ascii="Verdana" w:hAnsi="Verdana" w:cs="Calibri"/>
          <w:bCs/>
          <w:sz w:val="20"/>
          <w:szCs w:val="20"/>
        </w:rPr>
        <w:t>outputs</w:t>
      </w:r>
      <w:r w:rsidRPr="00704B12">
        <w:rPr>
          <w:rFonts w:ascii="Verdana" w:hAnsi="Verdana" w:cs="Calibri"/>
          <w:bCs/>
          <w:sz w:val="20"/>
          <w:szCs w:val="20"/>
        </w:rPr>
        <w:t xml:space="preserve"> area falls short of meeting the minimum requirements. </w:t>
      </w:r>
    </w:p>
    <w:p w14:paraId="7DC132C1" w14:textId="77777777" w:rsidR="000448B9" w:rsidRPr="00704B12" w:rsidRDefault="000448B9" w:rsidP="005B5B94">
      <w:pPr>
        <w:spacing w:after="0" w:line="240" w:lineRule="auto"/>
        <w:jc w:val="both"/>
        <w:rPr>
          <w:rFonts w:ascii="Verdana" w:hAnsi="Verdana" w:cs="Calibri"/>
          <w:bCs/>
          <w:i/>
          <w:iCs/>
          <w:sz w:val="20"/>
          <w:szCs w:val="20"/>
        </w:rPr>
      </w:pPr>
    </w:p>
    <w:p w14:paraId="77C50AB3" w14:textId="46C86EC6" w:rsidR="002E7CA1" w:rsidRPr="00704B12" w:rsidRDefault="002E7CA1" w:rsidP="005B5B94">
      <w:pPr>
        <w:spacing w:after="0" w:line="240" w:lineRule="auto"/>
        <w:jc w:val="both"/>
        <w:rPr>
          <w:rFonts w:ascii="Verdana" w:hAnsi="Verdana" w:cs="Calibri"/>
          <w:bCs/>
          <w:sz w:val="20"/>
          <w:szCs w:val="20"/>
        </w:rPr>
      </w:pPr>
      <w:r w:rsidRPr="00704B12">
        <w:rPr>
          <w:rFonts w:ascii="Verdana" w:hAnsi="Verdana" w:cs="Calibri"/>
          <w:bCs/>
          <w:i/>
          <w:iCs/>
          <w:sz w:val="20"/>
          <w:szCs w:val="20"/>
        </w:rPr>
        <w:lastRenderedPageBreak/>
        <w:t xml:space="preserve">Criterion (b): </w:t>
      </w:r>
      <w:r w:rsidRPr="00704B12">
        <w:rPr>
          <w:rFonts w:ascii="Verdana" w:hAnsi="Verdana" w:cs="Calibri"/>
          <w:bCs/>
          <w:sz w:val="20"/>
          <w:szCs w:val="20"/>
        </w:rPr>
        <w:t xml:space="preserve">To </w:t>
      </w:r>
      <w:r w:rsidR="00D04D5A" w:rsidRPr="00704B12">
        <w:rPr>
          <w:rFonts w:ascii="Verdana" w:hAnsi="Verdana" w:cs="Calibri"/>
          <w:bCs/>
          <w:sz w:val="20"/>
          <w:szCs w:val="20"/>
        </w:rPr>
        <w:t>fulfil</w:t>
      </w:r>
      <w:r w:rsidRPr="00704B12">
        <w:rPr>
          <w:rFonts w:ascii="Verdana" w:hAnsi="Verdana" w:cs="Calibri"/>
          <w:bCs/>
          <w:sz w:val="20"/>
          <w:szCs w:val="20"/>
        </w:rPr>
        <w:t xml:space="preserve"> this criterion, </w:t>
      </w:r>
      <w:r w:rsidR="004341FA">
        <w:rPr>
          <w:rFonts w:ascii="Verdana" w:hAnsi="Verdana" w:cs="Calibri"/>
          <w:bCs/>
          <w:sz w:val="20"/>
          <w:szCs w:val="20"/>
        </w:rPr>
        <w:t>the p</w:t>
      </w:r>
      <w:r w:rsidR="000448B9" w:rsidRPr="00704B12">
        <w:rPr>
          <w:rFonts w:ascii="Verdana" w:hAnsi="Verdana" w:cs="Calibri"/>
          <w:bCs/>
          <w:sz w:val="20"/>
          <w:szCs w:val="20"/>
        </w:rPr>
        <w:t>rogra</w:t>
      </w:r>
      <w:r w:rsidR="004341FA">
        <w:rPr>
          <w:rFonts w:ascii="Verdana" w:hAnsi="Verdana" w:cs="Calibri"/>
          <w:bCs/>
          <w:sz w:val="20"/>
          <w:szCs w:val="20"/>
        </w:rPr>
        <w:t>mme</w:t>
      </w:r>
      <w:r w:rsidRPr="00704B12">
        <w:rPr>
          <w:rFonts w:ascii="Verdana" w:hAnsi="Verdana" w:cs="Calibri"/>
          <w:bCs/>
          <w:sz w:val="20"/>
          <w:szCs w:val="20"/>
        </w:rPr>
        <w:t xml:space="preserve"> should have at least one gender-targeted </w:t>
      </w:r>
      <w:r w:rsidR="00D04D5A" w:rsidRPr="00704B12">
        <w:rPr>
          <w:rFonts w:ascii="Verdana" w:hAnsi="Verdana" w:cs="Calibri"/>
          <w:bCs/>
          <w:sz w:val="20"/>
          <w:szCs w:val="20"/>
        </w:rPr>
        <w:t>output</w:t>
      </w:r>
      <w:r w:rsidRPr="00704B12">
        <w:rPr>
          <w:rFonts w:ascii="Verdana" w:hAnsi="Verdana" w:cs="Calibri"/>
          <w:bCs/>
          <w:sz w:val="20"/>
          <w:szCs w:val="20"/>
        </w:rPr>
        <w:t xml:space="preserve">, which means that the principal purpose of the </w:t>
      </w:r>
      <w:r w:rsidR="00D04D5A" w:rsidRPr="00704B12">
        <w:rPr>
          <w:rFonts w:ascii="Verdana" w:hAnsi="Verdana" w:cs="Calibri"/>
          <w:bCs/>
          <w:sz w:val="20"/>
          <w:szCs w:val="20"/>
        </w:rPr>
        <w:t>output</w:t>
      </w:r>
      <w:r w:rsidRPr="00704B12">
        <w:rPr>
          <w:rFonts w:ascii="Verdana" w:hAnsi="Verdana" w:cs="Calibri"/>
          <w:bCs/>
          <w:sz w:val="20"/>
          <w:szCs w:val="20"/>
        </w:rPr>
        <w:t xml:space="preserve"> is to advance gender equality and the empowerment of women, with a clear link to the SDGs, including SDG 5. </w:t>
      </w:r>
    </w:p>
    <w:p w14:paraId="5D386724" w14:textId="77777777" w:rsidR="000448B9" w:rsidRPr="00704B12" w:rsidRDefault="000448B9" w:rsidP="005B5B94">
      <w:pPr>
        <w:spacing w:after="0" w:line="240" w:lineRule="auto"/>
        <w:jc w:val="both"/>
        <w:rPr>
          <w:rFonts w:ascii="Verdana" w:hAnsi="Verdana" w:cs="Calibri"/>
          <w:bCs/>
          <w:sz w:val="20"/>
          <w:szCs w:val="20"/>
        </w:rPr>
      </w:pPr>
    </w:p>
    <w:p w14:paraId="5807439F" w14:textId="5BDB2DE4" w:rsidR="002E7CA1" w:rsidRDefault="002E7CA1" w:rsidP="005B5B94">
      <w:pPr>
        <w:spacing w:after="0" w:line="240" w:lineRule="auto"/>
        <w:jc w:val="both"/>
        <w:rPr>
          <w:rFonts w:ascii="Verdana" w:hAnsi="Verdana" w:cs="Calibri"/>
          <w:bCs/>
          <w:sz w:val="20"/>
          <w:szCs w:val="20"/>
        </w:rPr>
      </w:pPr>
      <w:r w:rsidRPr="00704B12">
        <w:rPr>
          <w:rFonts w:ascii="Verdana" w:hAnsi="Verdana" w:cs="Calibri"/>
          <w:bCs/>
          <w:sz w:val="20"/>
          <w:szCs w:val="20"/>
        </w:rPr>
        <w:t xml:space="preserve">Score the indicator as ‘approaches requirements’ if there is no dedicated </w:t>
      </w:r>
      <w:r w:rsidR="00D04D5A" w:rsidRPr="00704B12">
        <w:rPr>
          <w:rFonts w:ascii="Verdana" w:hAnsi="Verdana" w:cs="Calibri"/>
          <w:bCs/>
          <w:sz w:val="20"/>
          <w:szCs w:val="20"/>
        </w:rPr>
        <w:t>output</w:t>
      </w:r>
      <w:r w:rsidRPr="00704B12">
        <w:rPr>
          <w:rFonts w:ascii="Verdana" w:hAnsi="Verdana" w:cs="Calibri"/>
          <w:bCs/>
          <w:sz w:val="20"/>
          <w:szCs w:val="20"/>
        </w:rPr>
        <w:t xml:space="preserve"> on gender equality, and only some of the </w:t>
      </w:r>
      <w:r w:rsidR="00CB34DA" w:rsidRPr="00704B12">
        <w:rPr>
          <w:rFonts w:ascii="Verdana" w:hAnsi="Verdana" w:cs="Calibri"/>
          <w:bCs/>
          <w:sz w:val="20"/>
          <w:szCs w:val="20"/>
        </w:rPr>
        <w:t>outputs</w:t>
      </w:r>
      <w:r w:rsidRPr="00704B12">
        <w:rPr>
          <w:rFonts w:ascii="Verdana" w:hAnsi="Verdana" w:cs="Calibri"/>
          <w:bCs/>
          <w:sz w:val="20"/>
          <w:szCs w:val="20"/>
        </w:rPr>
        <w:t xml:space="preserve"> include explicit reference to gender equality. Score the indicator as ‘missing minimum requirements’ if gender equality is not articulated in any </w:t>
      </w:r>
      <w:r w:rsidR="00D04D5A" w:rsidRPr="00704B12">
        <w:rPr>
          <w:rFonts w:ascii="Verdana" w:hAnsi="Verdana" w:cs="Calibri"/>
          <w:bCs/>
          <w:sz w:val="20"/>
          <w:szCs w:val="20"/>
        </w:rPr>
        <w:t>outputs</w:t>
      </w:r>
      <w:r w:rsidRPr="00704B12">
        <w:rPr>
          <w:rFonts w:ascii="Verdana" w:hAnsi="Verdana" w:cs="Calibri"/>
          <w:bCs/>
          <w:sz w:val="20"/>
          <w:szCs w:val="20"/>
        </w:rPr>
        <w:t>.</w:t>
      </w:r>
    </w:p>
    <w:p w14:paraId="67484DBD" w14:textId="77777777" w:rsidR="004341FA" w:rsidRPr="00704B12" w:rsidRDefault="004341FA" w:rsidP="005B5B94">
      <w:pPr>
        <w:spacing w:after="0" w:line="240" w:lineRule="auto"/>
        <w:jc w:val="both"/>
        <w:rPr>
          <w:rFonts w:ascii="Verdana" w:hAnsi="Verdana" w:cs="Calibri"/>
          <w:bCs/>
          <w:sz w:val="20"/>
          <w:szCs w:val="20"/>
        </w:rPr>
      </w:pPr>
    </w:p>
    <w:p w14:paraId="29BA2186" w14:textId="40B657EF" w:rsidR="002E7CA1" w:rsidRPr="00704B12" w:rsidRDefault="002E7CA1" w:rsidP="005B5B94">
      <w:pPr>
        <w:spacing w:after="0" w:line="240" w:lineRule="auto"/>
        <w:jc w:val="both"/>
        <w:rPr>
          <w:rFonts w:ascii="Verdana" w:hAnsi="Verdana" w:cs="Calibri"/>
          <w:bCs/>
          <w:sz w:val="20"/>
          <w:szCs w:val="20"/>
        </w:rPr>
      </w:pPr>
      <w:r w:rsidRPr="00704B12">
        <w:rPr>
          <w:rFonts w:ascii="Verdana" w:hAnsi="Verdana" w:cs="Calibri"/>
          <w:bCs/>
          <w:sz w:val="20"/>
          <w:szCs w:val="20"/>
        </w:rPr>
        <w:t xml:space="preserve">To exceed requirements, there needs to be one dedicated </w:t>
      </w:r>
      <w:r w:rsidR="00CB34DA" w:rsidRPr="00704B12">
        <w:rPr>
          <w:rFonts w:ascii="Verdana" w:hAnsi="Verdana" w:cs="Calibri"/>
          <w:bCs/>
          <w:sz w:val="20"/>
          <w:szCs w:val="20"/>
        </w:rPr>
        <w:t>output</w:t>
      </w:r>
      <w:r w:rsidRPr="00704B12">
        <w:rPr>
          <w:rFonts w:ascii="Verdana" w:hAnsi="Verdana" w:cs="Calibri"/>
          <w:bCs/>
          <w:sz w:val="20"/>
          <w:szCs w:val="20"/>
        </w:rPr>
        <w:t xml:space="preserve"> on gender equality, and gender equality should be explicitly referenced in all other </w:t>
      </w:r>
      <w:r w:rsidR="00D04D5A" w:rsidRPr="00704B12">
        <w:rPr>
          <w:rFonts w:ascii="Verdana" w:hAnsi="Verdana" w:cs="Calibri"/>
          <w:bCs/>
          <w:sz w:val="20"/>
          <w:szCs w:val="20"/>
        </w:rPr>
        <w:t>outputs</w:t>
      </w:r>
      <w:r w:rsidRPr="00704B12">
        <w:rPr>
          <w:rFonts w:ascii="Verdana" w:hAnsi="Verdana" w:cs="Calibri"/>
          <w:bCs/>
          <w:sz w:val="20"/>
          <w:szCs w:val="20"/>
        </w:rPr>
        <w:t>.</w:t>
      </w:r>
    </w:p>
    <w:p w14:paraId="64A4E7B2" w14:textId="77777777" w:rsidR="002E7CA1" w:rsidRPr="00704B12" w:rsidRDefault="002E7CA1" w:rsidP="005B5B94">
      <w:pPr>
        <w:spacing w:after="0" w:line="240" w:lineRule="auto"/>
        <w:rPr>
          <w:rFonts w:ascii="Verdana" w:hAnsi="Verdana" w:cs="Calibri"/>
          <w:bCs/>
          <w:sz w:val="20"/>
          <w:szCs w:val="20"/>
        </w:rPr>
      </w:pPr>
    </w:p>
    <w:tbl>
      <w:tblPr>
        <w:tblStyle w:val="TableGrid"/>
        <w:tblW w:w="0" w:type="auto"/>
        <w:tblLook w:val="04A0" w:firstRow="1" w:lastRow="0" w:firstColumn="1" w:lastColumn="0" w:noHBand="0" w:noVBand="1"/>
      </w:tblPr>
      <w:tblGrid>
        <w:gridCol w:w="3002"/>
        <w:gridCol w:w="3007"/>
        <w:gridCol w:w="3007"/>
      </w:tblGrid>
      <w:tr w:rsidR="002E7CA1" w:rsidRPr="00F67DEB" w14:paraId="766690DF" w14:textId="77777777" w:rsidTr="0066087B">
        <w:tc>
          <w:tcPr>
            <w:tcW w:w="9242" w:type="dxa"/>
            <w:gridSpan w:val="3"/>
            <w:shd w:val="clear" w:color="auto" w:fill="548DD4" w:themeFill="text2" w:themeFillTint="99"/>
          </w:tcPr>
          <w:p w14:paraId="25598596" w14:textId="7D9CF4D1" w:rsidR="002E7CA1" w:rsidRPr="00F67DEB" w:rsidRDefault="002E7CA1" w:rsidP="005B5B94">
            <w:pPr>
              <w:jc w:val="center"/>
              <w:rPr>
                <w:rFonts w:ascii="Verdana" w:hAnsi="Verdana" w:cs="Calibri"/>
                <w:b/>
                <w:color w:val="FFFFFF" w:themeColor="background1"/>
                <w:sz w:val="20"/>
                <w:szCs w:val="20"/>
              </w:rPr>
            </w:pPr>
            <w:r w:rsidRPr="00F67DEB">
              <w:rPr>
                <w:rFonts w:ascii="Verdana" w:hAnsi="Verdana" w:cs="Calibri"/>
                <w:b/>
                <w:color w:val="FFFFFF" w:themeColor="background1"/>
                <w:sz w:val="20"/>
                <w:szCs w:val="20"/>
              </w:rPr>
              <w:t xml:space="preserve">Indicator 1.3. </w:t>
            </w:r>
            <w:r w:rsidR="000448B9" w:rsidRPr="00F67DEB">
              <w:rPr>
                <w:rFonts w:ascii="Verdana" w:hAnsi="Verdana" w:cs="Calibri"/>
                <w:b/>
                <w:color w:val="FFFFFF" w:themeColor="background1"/>
                <w:sz w:val="20"/>
                <w:szCs w:val="20"/>
              </w:rPr>
              <w:t>Program</w:t>
            </w:r>
            <w:r w:rsidR="00433BFD" w:rsidRPr="00F67DEB">
              <w:rPr>
                <w:rFonts w:ascii="Verdana" w:hAnsi="Verdana" w:cs="Calibri"/>
                <w:b/>
                <w:color w:val="FFFFFF" w:themeColor="background1"/>
                <w:sz w:val="20"/>
                <w:szCs w:val="20"/>
              </w:rPr>
              <w:t>me</w:t>
            </w:r>
            <w:r w:rsidR="000448B9" w:rsidRPr="00F67DEB">
              <w:rPr>
                <w:rFonts w:ascii="Verdana" w:hAnsi="Verdana" w:cs="Calibri"/>
                <w:b/>
                <w:color w:val="FFFFFF" w:themeColor="background1"/>
                <w:sz w:val="20"/>
                <w:szCs w:val="20"/>
              </w:rPr>
              <w:t xml:space="preserve"> </w:t>
            </w:r>
            <w:r w:rsidR="00D04D5A" w:rsidRPr="00F67DEB">
              <w:rPr>
                <w:rFonts w:ascii="Verdana" w:hAnsi="Verdana" w:cs="Calibri"/>
                <w:b/>
                <w:color w:val="FFFFFF" w:themeColor="background1"/>
                <w:sz w:val="20"/>
                <w:szCs w:val="20"/>
              </w:rPr>
              <w:t xml:space="preserve">output </w:t>
            </w:r>
            <w:r w:rsidR="000448B9" w:rsidRPr="00F67DEB">
              <w:rPr>
                <w:rFonts w:ascii="Verdana" w:hAnsi="Verdana" w:cs="Calibri"/>
                <w:b/>
                <w:color w:val="FFFFFF" w:themeColor="background1"/>
                <w:sz w:val="20"/>
                <w:szCs w:val="20"/>
              </w:rPr>
              <w:t xml:space="preserve">indicators measure </w:t>
            </w:r>
            <w:r w:rsidR="003B0517" w:rsidRPr="00F67DEB">
              <w:rPr>
                <w:rFonts w:ascii="Verdana" w:hAnsi="Verdana" w:cs="Calibri"/>
                <w:b/>
                <w:color w:val="FFFFFF" w:themeColor="background1"/>
                <w:sz w:val="20"/>
                <w:szCs w:val="20"/>
              </w:rPr>
              <w:t>c</w:t>
            </w:r>
            <w:r w:rsidR="000448B9" w:rsidRPr="00F67DEB">
              <w:rPr>
                <w:rFonts w:ascii="Verdana" w:hAnsi="Verdana" w:cs="Calibri"/>
                <w:b/>
                <w:color w:val="FFFFFF" w:themeColor="background1"/>
                <w:sz w:val="20"/>
                <w:szCs w:val="20"/>
              </w:rPr>
              <w:t xml:space="preserve">hanges on gender </w:t>
            </w:r>
            <w:r w:rsidR="003B0517" w:rsidRPr="00F67DEB">
              <w:rPr>
                <w:rFonts w:ascii="Verdana" w:hAnsi="Verdana" w:cs="Calibri"/>
                <w:b/>
                <w:color w:val="FFFFFF" w:themeColor="background1"/>
                <w:sz w:val="20"/>
                <w:szCs w:val="20"/>
              </w:rPr>
              <w:t>e</w:t>
            </w:r>
            <w:r w:rsidR="000448B9" w:rsidRPr="00F67DEB">
              <w:rPr>
                <w:rFonts w:ascii="Verdana" w:hAnsi="Verdana" w:cs="Calibri"/>
                <w:b/>
                <w:color w:val="FFFFFF" w:themeColor="background1"/>
                <w:sz w:val="20"/>
                <w:szCs w:val="20"/>
              </w:rPr>
              <w:t>quality</w:t>
            </w:r>
          </w:p>
        </w:tc>
      </w:tr>
      <w:tr w:rsidR="002E7CA1" w:rsidRPr="00704B12" w14:paraId="40873A3F" w14:textId="77777777" w:rsidTr="0066087B">
        <w:tc>
          <w:tcPr>
            <w:tcW w:w="3080" w:type="dxa"/>
          </w:tcPr>
          <w:p w14:paraId="57D0C2DB" w14:textId="77777777" w:rsidR="002E7CA1" w:rsidRPr="00704B12" w:rsidRDefault="002E7CA1" w:rsidP="005B5B94">
            <w:pPr>
              <w:jc w:val="center"/>
              <w:rPr>
                <w:rFonts w:ascii="Verdana" w:hAnsi="Verdana" w:cs="Calibri"/>
                <w:b/>
                <w:sz w:val="18"/>
                <w:szCs w:val="18"/>
              </w:rPr>
            </w:pPr>
            <w:r w:rsidRPr="00704B12">
              <w:rPr>
                <w:rFonts w:ascii="Verdana" w:hAnsi="Verdana" w:cs="Calibri"/>
                <w:b/>
                <w:sz w:val="18"/>
                <w:szCs w:val="18"/>
              </w:rPr>
              <w:t>Approach minimum requirements</w:t>
            </w:r>
          </w:p>
        </w:tc>
        <w:tc>
          <w:tcPr>
            <w:tcW w:w="3081" w:type="dxa"/>
          </w:tcPr>
          <w:p w14:paraId="7ED03188" w14:textId="77777777" w:rsidR="002E7CA1" w:rsidRPr="00704B12" w:rsidRDefault="002E7CA1" w:rsidP="005B5B94">
            <w:pPr>
              <w:jc w:val="center"/>
              <w:rPr>
                <w:rFonts w:ascii="Verdana" w:hAnsi="Verdana" w:cs="Calibri"/>
                <w:b/>
                <w:sz w:val="18"/>
                <w:szCs w:val="18"/>
              </w:rPr>
            </w:pPr>
            <w:r w:rsidRPr="00704B12">
              <w:rPr>
                <w:rFonts w:ascii="Verdana" w:hAnsi="Verdana" w:cs="Calibri"/>
                <w:b/>
                <w:sz w:val="18"/>
                <w:szCs w:val="18"/>
              </w:rPr>
              <w:t>Meets Minimum Requirements</w:t>
            </w:r>
          </w:p>
        </w:tc>
        <w:tc>
          <w:tcPr>
            <w:tcW w:w="3081" w:type="dxa"/>
          </w:tcPr>
          <w:p w14:paraId="140936C7" w14:textId="77777777" w:rsidR="002E7CA1" w:rsidRPr="00704B12" w:rsidRDefault="002E7CA1" w:rsidP="005B5B94">
            <w:pPr>
              <w:jc w:val="center"/>
              <w:rPr>
                <w:rFonts w:ascii="Verdana" w:hAnsi="Verdana" w:cs="Calibri"/>
                <w:b/>
                <w:sz w:val="18"/>
                <w:szCs w:val="18"/>
              </w:rPr>
            </w:pPr>
            <w:r w:rsidRPr="00704B12">
              <w:rPr>
                <w:rFonts w:ascii="Verdana" w:hAnsi="Verdana" w:cs="Calibri"/>
                <w:b/>
                <w:sz w:val="18"/>
                <w:szCs w:val="18"/>
              </w:rPr>
              <w:t>Exceed Minimum Requirements</w:t>
            </w:r>
          </w:p>
        </w:tc>
      </w:tr>
      <w:tr w:rsidR="002E7CA1" w:rsidRPr="00704B12" w14:paraId="45A9283B" w14:textId="77777777" w:rsidTr="0066087B">
        <w:tc>
          <w:tcPr>
            <w:tcW w:w="3080" w:type="dxa"/>
          </w:tcPr>
          <w:p w14:paraId="1ED26771" w14:textId="5A635EB3" w:rsidR="002E7CA1" w:rsidRPr="00F67DEB" w:rsidRDefault="003B0517" w:rsidP="005B5B94">
            <w:pPr>
              <w:rPr>
                <w:rFonts w:ascii="Verdana" w:hAnsi="Verdana" w:cs="Calibri"/>
                <w:bCs/>
                <w:sz w:val="18"/>
                <w:szCs w:val="18"/>
              </w:rPr>
            </w:pPr>
            <w:r w:rsidRPr="00F67DEB">
              <w:rPr>
                <w:rFonts w:ascii="Verdana" w:hAnsi="Verdana" w:cs="Calibri"/>
                <w:bCs/>
                <w:sz w:val="18"/>
                <w:szCs w:val="18"/>
              </w:rPr>
              <w:t xml:space="preserve">Between one-fifth and one-third (20-33 percent) of </w:t>
            </w:r>
            <w:r w:rsidR="004341FA" w:rsidRPr="00F67DEB">
              <w:rPr>
                <w:rFonts w:ascii="Verdana" w:hAnsi="Verdana" w:cs="Calibri"/>
                <w:bCs/>
                <w:sz w:val="18"/>
                <w:szCs w:val="18"/>
              </w:rPr>
              <w:t xml:space="preserve">the </w:t>
            </w:r>
            <w:r w:rsidRPr="00F67DEB">
              <w:rPr>
                <w:rFonts w:ascii="Verdana" w:hAnsi="Verdana" w:cs="Calibri"/>
                <w:bCs/>
                <w:sz w:val="18"/>
                <w:szCs w:val="18"/>
              </w:rPr>
              <w:t>output</w:t>
            </w:r>
            <w:r w:rsidR="00D04D5A" w:rsidRPr="00F67DEB">
              <w:rPr>
                <w:rFonts w:ascii="Verdana" w:hAnsi="Verdana" w:cs="Calibri"/>
                <w:bCs/>
                <w:sz w:val="18"/>
                <w:szCs w:val="18"/>
              </w:rPr>
              <w:t xml:space="preserve"> </w:t>
            </w:r>
            <w:r w:rsidRPr="00F67DEB">
              <w:rPr>
                <w:rFonts w:ascii="Verdana" w:hAnsi="Verdana" w:cs="Calibri"/>
                <w:bCs/>
                <w:sz w:val="18"/>
                <w:szCs w:val="18"/>
              </w:rPr>
              <w:t xml:space="preserve">indicators measure changes in gender equality and the empowerment of women in line with SDG targets including SDG 5. </w:t>
            </w:r>
          </w:p>
        </w:tc>
        <w:tc>
          <w:tcPr>
            <w:tcW w:w="3081" w:type="dxa"/>
          </w:tcPr>
          <w:p w14:paraId="08D72AC1" w14:textId="4C10C380" w:rsidR="002E7CA1" w:rsidRPr="00F67DEB" w:rsidRDefault="003B0517" w:rsidP="005B5B94">
            <w:pPr>
              <w:rPr>
                <w:rFonts w:ascii="Verdana" w:hAnsi="Verdana" w:cs="Calibri"/>
                <w:bCs/>
                <w:sz w:val="18"/>
                <w:szCs w:val="18"/>
              </w:rPr>
            </w:pPr>
            <w:r w:rsidRPr="00F67DEB">
              <w:rPr>
                <w:rFonts w:ascii="Verdana" w:hAnsi="Verdana" w:cs="Calibri"/>
                <w:bCs/>
                <w:sz w:val="18"/>
                <w:szCs w:val="18"/>
              </w:rPr>
              <w:t xml:space="preserve">Between one-third and one-half (33-50 percent) of </w:t>
            </w:r>
            <w:r w:rsidR="004341FA" w:rsidRPr="00F67DEB">
              <w:rPr>
                <w:rFonts w:ascii="Verdana" w:hAnsi="Verdana" w:cs="Calibri"/>
                <w:bCs/>
                <w:sz w:val="18"/>
                <w:szCs w:val="18"/>
              </w:rPr>
              <w:t>the</w:t>
            </w:r>
            <w:r w:rsidRPr="00F67DEB">
              <w:rPr>
                <w:rFonts w:ascii="Verdana" w:hAnsi="Verdana" w:cs="Calibri"/>
                <w:bCs/>
                <w:sz w:val="18"/>
                <w:szCs w:val="18"/>
              </w:rPr>
              <w:t xml:space="preserve"> output indicators measure changes in gender equality and the empowerment of women in line with SDG targets including SDG 5.</w:t>
            </w:r>
          </w:p>
        </w:tc>
        <w:tc>
          <w:tcPr>
            <w:tcW w:w="3081" w:type="dxa"/>
          </w:tcPr>
          <w:p w14:paraId="418FD347" w14:textId="2BAAA1DF" w:rsidR="002E7CA1" w:rsidRPr="00F67DEB" w:rsidRDefault="003B0517" w:rsidP="005B5B94">
            <w:pPr>
              <w:rPr>
                <w:rFonts w:ascii="Verdana" w:hAnsi="Verdana" w:cs="Calibri"/>
                <w:bCs/>
                <w:sz w:val="18"/>
                <w:szCs w:val="18"/>
              </w:rPr>
            </w:pPr>
            <w:r w:rsidRPr="00F67DEB">
              <w:rPr>
                <w:rFonts w:ascii="Verdana" w:hAnsi="Verdana" w:cs="Calibri"/>
                <w:bCs/>
                <w:sz w:val="18"/>
                <w:szCs w:val="18"/>
              </w:rPr>
              <w:t xml:space="preserve">More than one-half of </w:t>
            </w:r>
            <w:r w:rsidR="004341FA" w:rsidRPr="00F67DEB">
              <w:rPr>
                <w:rFonts w:ascii="Verdana" w:hAnsi="Verdana" w:cs="Calibri"/>
                <w:bCs/>
                <w:sz w:val="18"/>
                <w:szCs w:val="18"/>
              </w:rPr>
              <w:t>the</w:t>
            </w:r>
            <w:r w:rsidRPr="00F67DEB">
              <w:rPr>
                <w:rFonts w:ascii="Verdana" w:hAnsi="Verdana" w:cs="Calibri"/>
                <w:bCs/>
                <w:sz w:val="18"/>
                <w:szCs w:val="18"/>
              </w:rPr>
              <w:t xml:space="preserve"> output</w:t>
            </w:r>
            <w:r w:rsidR="00D04D5A" w:rsidRPr="00F67DEB">
              <w:rPr>
                <w:rFonts w:ascii="Verdana" w:hAnsi="Verdana" w:cs="Calibri"/>
                <w:bCs/>
                <w:sz w:val="18"/>
                <w:szCs w:val="18"/>
              </w:rPr>
              <w:t xml:space="preserve"> </w:t>
            </w:r>
            <w:r w:rsidRPr="00F67DEB">
              <w:rPr>
                <w:rFonts w:ascii="Verdana" w:hAnsi="Verdana" w:cs="Calibri"/>
                <w:bCs/>
                <w:sz w:val="18"/>
                <w:szCs w:val="18"/>
              </w:rPr>
              <w:t>indicators measure changes in gender equality and the empowerment of women in line with SDG targets including SDG 5.</w:t>
            </w:r>
          </w:p>
        </w:tc>
      </w:tr>
    </w:tbl>
    <w:p w14:paraId="05792652" w14:textId="77777777" w:rsidR="002E7CA1" w:rsidRPr="00704B12" w:rsidRDefault="002E7CA1" w:rsidP="005B5B94">
      <w:pPr>
        <w:spacing w:after="0" w:line="240" w:lineRule="auto"/>
        <w:rPr>
          <w:rFonts w:ascii="Verdana" w:hAnsi="Verdana" w:cs="Calibri"/>
          <w:bCs/>
          <w:sz w:val="20"/>
          <w:szCs w:val="20"/>
        </w:rPr>
      </w:pPr>
    </w:p>
    <w:p w14:paraId="13BFC4D3" w14:textId="77777777" w:rsidR="000448B9" w:rsidRPr="00704B12" w:rsidRDefault="003B0517" w:rsidP="005B5B94">
      <w:pPr>
        <w:spacing w:after="0" w:line="240" w:lineRule="auto"/>
        <w:jc w:val="both"/>
        <w:rPr>
          <w:rFonts w:ascii="Verdana" w:hAnsi="Verdana" w:cs="Calibri"/>
          <w:b/>
          <w:color w:val="4F81BD" w:themeColor="accent1"/>
          <w:sz w:val="20"/>
          <w:szCs w:val="20"/>
        </w:rPr>
      </w:pPr>
      <w:r w:rsidRPr="00704B12">
        <w:rPr>
          <w:rFonts w:ascii="Verdana" w:hAnsi="Verdana" w:cs="Calibri"/>
          <w:b/>
          <w:color w:val="4F81BD" w:themeColor="accent1"/>
          <w:sz w:val="20"/>
          <w:szCs w:val="20"/>
        </w:rPr>
        <w:t>Score this indicator</w:t>
      </w:r>
    </w:p>
    <w:p w14:paraId="3EEE8C7F" w14:textId="6EED53EB" w:rsidR="003B0517" w:rsidRPr="00704B12" w:rsidRDefault="003B0517" w:rsidP="005B5B94">
      <w:pPr>
        <w:pStyle w:val="ListParagraph"/>
        <w:numPr>
          <w:ilvl w:val="0"/>
          <w:numId w:val="18"/>
        </w:numPr>
        <w:spacing w:after="0" w:line="240" w:lineRule="auto"/>
        <w:rPr>
          <w:rFonts w:ascii="Verdana" w:hAnsi="Verdana" w:cs="Calibri"/>
          <w:bCs/>
          <w:sz w:val="20"/>
          <w:szCs w:val="20"/>
        </w:rPr>
      </w:pPr>
      <w:r w:rsidRPr="00704B12">
        <w:rPr>
          <w:rFonts w:ascii="Verdana" w:hAnsi="Verdana" w:cs="Calibri"/>
          <w:bCs/>
          <w:sz w:val="20"/>
          <w:szCs w:val="20"/>
        </w:rPr>
        <w:t xml:space="preserve">Read each indicator and decide whether or not it is able to track progress toward </w:t>
      </w:r>
      <w:r w:rsidR="00CB34DA" w:rsidRPr="00704B12">
        <w:rPr>
          <w:rFonts w:ascii="Verdana" w:hAnsi="Verdana" w:cs="Calibri"/>
          <w:bCs/>
          <w:sz w:val="20"/>
          <w:szCs w:val="20"/>
        </w:rPr>
        <w:t>GEWE</w:t>
      </w:r>
      <w:r w:rsidRPr="00704B12">
        <w:rPr>
          <w:rFonts w:ascii="Verdana" w:hAnsi="Verdana" w:cs="Calibri"/>
          <w:bCs/>
          <w:sz w:val="20"/>
          <w:szCs w:val="20"/>
        </w:rPr>
        <w:t>. Count the total number of indicators that are gender sensitive.</w:t>
      </w:r>
    </w:p>
    <w:p w14:paraId="6090C6AA" w14:textId="534F1A29" w:rsidR="003B0517" w:rsidRPr="00704B12" w:rsidRDefault="003B0517" w:rsidP="005B5B94">
      <w:pPr>
        <w:pStyle w:val="ListParagraph"/>
        <w:numPr>
          <w:ilvl w:val="0"/>
          <w:numId w:val="18"/>
        </w:numPr>
        <w:spacing w:after="0" w:line="240" w:lineRule="auto"/>
        <w:rPr>
          <w:rFonts w:ascii="Verdana" w:hAnsi="Verdana" w:cs="Calibri"/>
          <w:bCs/>
          <w:sz w:val="20"/>
          <w:szCs w:val="20"/>
        </w:rPr>
      </w:pPr>
      <w:r w:rsidRPr="00704B12">
        <w:rPr>
          <w:rFonts w:ascii="Verdana" w:hAnsi="Verdana" w:cs="Calibri"/>
          <w:bCs/>
          <w:sz w:val="20"/>
          <w:szCs w:val="20"/>
        </w:rPr>
        <w:t>Perform a calculation by dividing the number of gender sensitive indicators by the total number of</w:t>
      </w:r>
      <w:r w:rsidR="00D04D5A" w:rsidRPr="00704B12">
        <w:rPr>
          <w:rFonts w:ascii="Verdana" w:hAnsi="Verdana" w:cs="Calibri"/>
          <w:bCs/>
          <w:sz w:val="20"/>
          <w:szCs w:val="20"/>
        </w:rPr>
        <w:t xml:space="preserve"> output</w:t>
      </w:r>
      <w:r w:rsidRPr="00704B12">
        <w:rPr>
          <w:rFonts w:ascii="Verdana" w:hAnsi="Verdana" w:cs="Calibri"/>
          <w:bCs/>
          <w:sz w:val="20"/>
          <w:szCs w:val="20"/>
        </w:rPr>
        <w:t xml:space="preserve"> indicators to give the percentage of gender sensitive indicators (e.g. 100 indicators; 40 are gender sensitive; 40 divided by 100 equals 40 percent).</w:t>
      </w:r>
    </w:p>
    <w:p w14:paraId="2D22627E" w14:textId="32645300" w:rsidR="003B0517" w:rsidRDefault="003B0517" w:rsidP="005B5B94">
      <w:pPr>
        <w:spacing w:after="0" w:line="240" w:lineRule="auto"/>
        <w:rPr>
          <w:rFonts w:ascii="Verdana" w:hAnsi="Verdana" w:cs="Calibri"/>
          <w:bCs/>
          <w:sz w:val="20"/>
          <w:szCs w:val="20"/>
        </w:rPr>
      </w:pPr>
    </w:p>
    <w:p w14:paraId="5AE84B76" w14:textId="77777777" w:rsidR="005B5B94" w:rsidRPr="005B5B94" w:rsidRDefault="005B5B94" w:rsidP="005B5B94">
      <w:pPr>
        <w:spacing w:after="0" w:line="240" w:lineRule="auto"/>
        <w:rPr>
          <w:rFonts w:ascii="Verdana" w:hAnsi="Verdana" w:cs="Calibri"/>
          <w:bCs/>
          <w:sz w:val="20"/>
          <w:szCs w:val="20"/>
        </w:rPr>
      </w:pPr>
    </w:p>
    <w:p w14:paraId="19ADFB15" w14:textId="77777777" w:rsidR="005B5B94" w:rsidRDefault="002F0547" w:rsidP="005B5B94">
      <w:pPr>
        <w:pStyle w:val="ListParagraph"/>
        <w:numPr>
          <w:ilvl w:val="0"/>
          <w:numId w:val="7"/>
        </w:numPr>
        <w:spacing w:after="0" w:line="240" w:lineRule="auto"/>
        <w:rPr>
          <w:rFonts w:ascii="Verdana" w:hAnsi="Verdana" w:cs="Calibri"/>
          <w:b/>
          <w:color w:val="4F81BD" w:themeColor="accent1"/>
          <w:sz w:val="20"/>
          <w:szCs w:val="20"/>
        </w:rPr>
      </w:pPr>
      <w:r w:rsidRPr="00704B12">
        <w:rPr>
          <w:rFonts w:ascii="Verdana" w:hAnsi="Verdana" w:cs="Calibri"/>
          <w:b/>
          <w:color w:val="4F81BD" w:themeColor="accent1"/>
          <w:sz w:val="20"/>
          <w:szCs w:val="20"/>
        </w:rPr>
        <w:t>P</w:t>
      </w:r>
      <w:r w:rsidR="005B5B94">
        <w:rPr>
          <w:rFonts w:ascii="Verdana" w:hAnsi="Verdana" w:cs="Calibri"/>
          <w:b/>
          <w:color w:val="4F81BD" w:themeColor="accent1"/>
          <w:sz w:val="20"/>
          <w:szCs w:val="20"/>
        </w:rPr>
        <w:t xml:space="preserve">artnerships </w:t>
      </w:r>
    </w:p>
    <w:p w14:paraId="6010949A" w14:textId="1ECA617D" w:rsidR="002E7CA1" w:rsidRPr="005B5B94" w:rsidRDefault="002E7CA1" w:rsidP="005B5B94">
      <w:pPr>
        <w:spacing w:after="0" w:line="240" w:lineRule="auto"/>
        <w:ind w:left="360"/>
        <w:rPr>
          <w:rFonts w:ascii="Verdana" w:hAnsi="Verdana" w:cs="Calibri"/>
          <w:b/>
          <w:color w:val="4F81BD" w:themeColor="accent1"/>
          <w:sz w:val="20"/>
          <w:szCs w:val="20"/>
        </w:rPr>
      </w:pPr>
    </w:p>
    <w:tbl>
      <w:tblPr>
        <w:tblStyle w:val="TableGrid"/>
        <w:tblW w:w="0" w:type="auto"/>
        <w:tblLook w:val="04A0" w:firstRow="1" w:lastRow="0" w:firstColumn="1" w:lastColumn="0" w:noHBand="0" w:noVBand="1"/>
      </w:tblPr>
      <w:tblGrid>
        <w:gridCol w:w="2998"/>
        <w:gridCol w:w="3009"/>
        <w:gridCol w:w="3009"/>
      </w:tblGrid>
      <w:tr w:rsidR="000448B9" w:rsidRPr="00704B12" w14:paraId="6499C793" w14:textId="77777777" w:rsidTr="00A84B79">
        <w:tc>
          <w:tcPr>
            <w:tcW w:w="9016" w:type="dxa"/>
            <w:gridSpan w:val="3"/>
            <w:shd w:val="clear" w:color="auto" w:fill="548DD4" w:themeFill="text2" w:themeFillTint="99"/>
          </w:tcPr>
          <w:p w14:paraId="7721BE98" w14:textId="4607352A" w:rsidR="000448B9" w:rsidRPr="00704B12" w:rsidRDefault="000448B9" w:rsidP="005B5B94">
            <w:pPr>
              <w:jc w:val="center"/>
              <w:rPr>
                <w:rFonts w:ascii="Verdana" w:hAnsi="Verdana" w:cs="Calibri"/>
                <w:b/>
                <w:color w:val="FFFFFF" w:themeColor="background1"/>
                <w:sz w:val="20"/>
                <w:szCs w:val="20"/>
              </w:rPr>
            </w:pPr>
            <w:r w:rsidRPr="00704B12">
              <w:rPr>
                <w:rFonts w:ascii="Verdana" w:hAnsi="Verdana" w:cs="Calibri"/>
                <w:b/>
                <w:color w:val="FFFFFF" w:themeColor="background1"/>
                <w:sz w:val="20"/>
                <w:szCs w:val="20"/>
              </w:rPr>
              <w:t xml:space="preserve">Indicator </w:t>
            </w:r>
            <w:r w:rsidR="003B0517" w:rsidRPr="00704B12">
              <w:rPr>
                <w:rFonts w:ascii="Verdana" w:hAnsi="Verdana" w:cs="Calibri"/>
                <w:b/>
                <w:color w:val="FFFFFF" w:themeColor="background1"/>
                <w:sz w:val="20"/>
                <w:szCs w:val="20"/>
              </w:rPr>
              <w:t>2</w:t>
            </w:r>
            <w:r w:rsidRPr="00704B12">
              <w:rPr>
                <w:rFonts w:ascii="Verdana" w:hAnsi="Verdana" w:cs="Calibri"/>
                <w:b/>
                <w:color w:val="FFFFFF" w:themeColor="background1"/>
                <w:sz w:val="20"/>
                <w:szCs w:val="20"/>
              </w:rPr>
              <w:t>.</w:t>
            </w:r>
            <w:r w:rsidR="003B0517" w:rsidRPr="00704B12">
              <w:rPr>
                <w:rFonts w:ascii="Verdana" w:hAnsi="Verdana" w:cs="Calibri"/>
                <w:b/>
                <w:color w:val="FFFFFF" w:themeColor="background1"/>
                <w:sz w:val="20"/>
                <w:szCs w:val="20"/>
              </w:rPr>
              <w:t>1</w:t>
            </w:r>
            <w:r w:rsidRPr="00704B12">
              <w:rPr>
                <w:rFonts w:ascii="Verdana" w:hAnsi="Verdana" w:cs="Calibri"/>
                <w:b/>
                <w:color w:val="FFFFFF" w:themeColor="background1"/>
                <w:sz w:val="20"/>
                <w:szCs w:val="20"/>
              </w:rPr>
              <w:t xml:space="preserve">. </w:t>
            </w:r>
            <w:r w:rsidR="00433BFD">
              <w:rPr>
                <w:rFonts w:ascii="Verdana" w:hAnsi="Verdana" w:cs="Calibri"/>
                <w:b/>
                <w:color w:val="FFFFFF" w:themeColor="background1"/>
                <w:sz w:val="20"/>
                <w:szCs w:val="20"/>
              </w:rPr>
              <w:t>PUNO</w:t>
            </w:r>
            <w:r w:rsidR="004E714A" w:rsidRPr="00704B12">
              <w:rPr>
                <w:rFonts w:ascii="Verdana" w:hAnsi="Verdana" w:cs="Calibri"/>
                <w:b/>
                <w:color w:val="FFFFFF" w:themeColor="background1"/>
                <w:sz w:val="20"/>
                <w:szCs w:val="20"/>
              </w:rPr>
              <w:t xml:space="preserve"> collaborate and engage with Government on </w:t>
            </w:r>
            <w:r w:rsidR="00F67DEB">
              <w:rPr>
                <w:rFonts w:ascii="Verdana" w:hAnsi="Verdana" w:cs="Calibri"/>
                <w:b/>
                <w:color w:val="FFFFFF" w:themeColor="background1"/>
                <w:sz w:val="20"/>
                <w:szCs w:val="20"/>
              </w:rPr>
              <w:t>g</w:t>
            </w:r>
            <w:r w:rsidR="004E714A" w:rsidRPr="00704B12">
              <w:rPr>
                <w:rFonts w:ascii="Verdana" w:hAnsi="Verdana" w:cs="Calibri"/>
                <w:b/>
                <w:color w:val="FFFFFF" w:themeColor="background1"/>
                <w:sz w:val="20"/>
                <w:szCs w:val="20"/>
              </w:rPr>
              <w:t xml:space="preserve">ender equality and the empowerment of women </w:t>
            </w:r>
          </w:p>
        </w:tc>
      </w:tr>
      <w:tr w:rsidR="000448B9" w:rsidRPr="00704B12" w14:paraId="2556294B" w14:textId="77777777" w:rsidTr="00A84B79">
        <w:tc>
          <w:tcPr>
            <w:tcW w:w="2998" w:type="dxa"/>
          </w:tcPr>
          <w:p w14:paraId="7A8A4411" w14:textId="77777777" w:rsidR="000448B9" w:rsidRPr="00704B12" w:rsidRDefault="000448B9" w:rsidP="005B5B94">
            <w:pPr>
              <w:jc w:val="center"/>
              <w:rPr>
                <w:rFonts w:ascii="Verdana" w:hAnsi="Verdana" w:cs="Calibri"/>
                <w:b/>
                <w:sz w:val="18"/>
                <w:szCs w:val="18"/>
              </w:rPr>
            </w:pPr>
            <w:r w:rsidRPr="00704B12">
              <w:rPr>
                <w:rFonts w:ascii="Verdana" w:hAnsi="Verdana" w:cs="Calibri"/>
                <w:b/>
                <w:sz w:val="18"/>
                <w:szCs w:val="18"/>
              </w:rPr>
              <w:t>Approach minimum requirements</w:t>
            </w:r>
          </w:p>
        </w:tc>
        <w:tc>
          <w:tcPr>
            <w:tcW w:w="3009" w:type="dxa"/>
          </w:tcPr>
          <w:p w14:paraId="25622F12" w14:textId="0A6FE5AD" w:rsidR="000448B9" w:rsidRPr="00704B12" w:rsidRDefault="000448B9" w:rsidP="005B5B94">
            <w:pPr>
              <w:jc w:val="center"/>
              <w:rPr>
                <w:rFonts w:ascii="Verdana" w:hAnsi="Verdana" w:cs="Calibri"/>
                <w:b/>
                <w:sz w:val="18"/>
                <w:szCs w:val="18"/>
              </w:rPr>
            </w:pPr>
            <w:r w:rsidRPr="00704B12">
              <w:rPr>
                <w:rFonts w:ascii="Verdana" w:hAnsi="Verdana" w:cs="Calibri"/>
                <w:b/>
                <w:sz w:val="18"/>
                <w:szCs w:val="18"/>
              </w:rPr>
              <w:t xml:space="preserve">Meets </w:t>
            </w:r>
            <w:r w:rsidR="00A84B79" w:rsidRPr="00704B12">
              <w:rPr>
                <w:rFonts w:ascii="Verdana" w:hAnsi="Verdana" w:cs="Calibri"/>
                <w:b/>
                <w:sz w:val="18"/>
                <w:szCs w:val="18"/>
              </w:rPr>
              <w:t>two</w:t>
            </w:r>
            <w:r w:rsidRPr="00704B12">
              <w:rPr>
                <w:rFonts w:ascii="Verdana" w:hAnsi="Verdana" w:cs="Calibri"/>
                <w:b/>
                <w:sz w:val="18"/>
                <w:szCs w:val="18"/>
              </w:rPr>
              <w:t xml:space="preserve"> Requirements</w:t>
            </w:r>
          </w:p>
        </w:tc>
        <w:tc>
          <w:tcPr>
            <w:tcW w:w="3009" w:type="dxa"/>
          </w:tcPr>
          <w:p w14:paraId="42B498C9" w14:textId="77777777" w:rsidR="000448B9" w:rsidRPr="00704B12" w:rsidRDefault="000448B9" w:rsidP="005B5B94">
            <w:pPr>
              <w:jc w:val="center"/>
              <w:rPr>
                <w:rFonts w:ascii="Verdana" w:hAnsi="Verdana" w:cs="Calibri"/>
                <w:b/>
                <w:sz w:val="18"/>
                <w:szCs w:val="18"/>
              </w:rPr>
            </w:pPr>
            <w:r w:rsidRPr="00704B12">
              <w:rPr>
                <w:rFonts w:ascii="Verdana" w:hAnsi="Verdana" w:cs="Calibri"/>
                <w:b/>
                <w:sz w:val="18"/>
                <w:szCs w:val="18"/>
              </w:rPr>
              <w:t>Exceed Minimum Requirements</w:t>
            </w:r>
          </w:p>
        </w:tc>
      </w:tr>
      <w:tr w:rsidR="000448B9" w:rsidRPr="00704B12" w14:paraId="5565BE0A" w14:textId="77777777" w:rsidTr="00A84B79">
        <w:tc>
          <w:tcPr>
            <w:tcW w:w="2998" w:type="dxa"/>
          </w:tcPr>
          <w:p w14:paraId="757AE6A7" w14:textId="1E21ABF1" w:rsidR="000448B9" w:rsidRPr="00F67DEB" w:rsidRDefault="00757FCC" w:rsidP="005B5B94">
            <w:pPr>
              <w:rPr>
                <w:rFonts w:ascii="Verdana" w:hAnsi="Verdana" w:cs="Calibri"/>
                <w:bCs/>
                <w:sz w:val="18"/>
                <w:szCs w:val="18"/>
              </w:rPr>
            </w:pPr>
            <w:r w:rsidRPr="00F67DEB">
              <w:rPr>
                <w:rFonts w:ascii="Verdana" w:hAnsi="Verdana" w:cs="Calibri"/>
                <w:bCs/>
                <w:sz w:val="18"/>
                <w:szCs w:val="18"/>
              </w:rPr>
              <w:t xml:space="preserve">a) </w:t>
            </w:r>
            <w:r w:rsidR="00562C2C" w:rsidRPr="00F67DEB">
              <w:rPr>
                <w:rFonts w:ascii="Verdana" w:hAnsi="Verdana" w:cs="Calibri"/>
                <w:bCs/>
                <w:sz w:val="18"/>
                <w:szCs w:val="18"/>
              </w:rPr>
              <w:t xml:space="preserve">The </w:t>
            </w:r>
            <w:r w:rsidR="00433BFD" w:rsidRPr="00F67DEB">
              <w:rPr>
                <w:rFonts w:ascii="Verdana" w:hAnsi="Verdana" w:cs="Calibri"/>
                <w:bCs/>
                <w:sz w:val="18"/>
                <w:szCs w:val="18"/>
              </w:rPr>
              <w:t>PUNO</w:t>
            </w:r>
            <w:r w:rsidR="00562C2C" w:rsidRPr="00F67DEB">
              <w:rPr>
                <w:rFonts w:ascii="Verdana" w:hAnsi="Verdana" w:cs="Calibri"/>
                <w:bCs/>
                <w:sz w:val="18"/>
                <w:szCs w:val="18"/>
              </w:rPr>
              <w:t xml:space="preserve"> ha</w:t>
            </w:r>
            <w:r w:rsidR="00433BFD" w:rsidRPr="00F67DEB">
              <w:rPr>
                <w:rFonts w:ascii="Verdana" w:hAnsi="Verdana" w:cs="Calibri"/>
                <w:bCs/>
                <w:sz w:val="18"/>
                <w:szCs w:val="18"/>
              </w:rPr>
              <w:t>ve</w:t>
            </w:r>
            <w:r w:rsidR="00562C2C" w:rsidRPr="00F67DEB">
              <w:rPr>
                <w:rFonts w:ascii="Verdana" w:hAnsi="Verdana" w:cs="Calibri"/>
                <w:bCs/>
                <w:sz w:val="18"/>
                <w:szCs w:val="18"/>
              </w:rPr>
              <w:t xml:space="preserve"> </w:t>
            </w:r>
            <w:r w:rsidRPr="00F67DEB">
              <w:rPr>
                <w:rFonts w:ascii="Verdana" w:hAnsi="Verdana" w:cs="Calibri"/>
                <w:bCs/>
                <w:sz w:val="18"/>
                <w:szCs w:val="18"/>
              </w:rPr>
              <w:t>consulted</w:t>
            </w:r>
            <w:r w:rsidR="00562C2C" w:rsidRPr="00F67DEB">
              <w:rPr>
                <w:rFonts w:ascii="Verdana" w:hAnsi="Verdana" w:cs="Calibri"/>
                <w:bCs/>
                <w:sz w:val="18"/>
                <w:szCs w:val="18"/>
              </w:rPr>
              <w:t xml:space="preserve"> with at least one government agency that fosters gender equality within the current </w:t>
            </w:r>
            <w:r w:rsidRPr="00F67DEB">
              <w:rPr>
                <w:rFonts w:ascii="Verdana" w:hAnsi="Verdana" w:cs="Calibri"/>
                <w:bCs/>
                <w:sz w:val="18"/>
                <w:szCs w:val="18"/>
              </w:rPr>
              <w:t>proposed project</w:t>
            </w:r>
          </w:p>
        </w:tc>
        <w:tc>
          <w:tcPr>
            <w:tcW w:w="3009" w:type="dxa"/>
          </w:tcPr>
          <w:p w14:paraId="5F22E02C" w14:textId="0CCE0F5A" w:rsidR="00757FCC" w:rsidRPr="00F67DEB" w:rsidRDefault="00562C2C" w:rsidP="005B5B94">
            <w:pPr>
              <w:rPr>
                <w:rFonts w:ascii="Verdana" w:hAnsi="Verdana" w:cs="Calibri"/>
                <w:bCs/>
                <w:sz w:val="18"/>
                <w:szCs w:val="18"/>
              </w:rPr>
            </w:pPr>
            <w:r w:rsidRPr="00F67DEB">
              <w:rPr>
                <w:rFonts w:ascii="Verdana" w:hAnsi="Verdana" w:cs="Calibri"/>
                <w:bCs/>
                <w:sz w:val="18"/>
                <w:szCs w:val="18"/>
              </w:rPr>
              <w:t xml:space="preserve">Meets </w:t>
            </w:r>
            <w:r w:rsidR="00A84B79" w:rsidRPr="00F67DEB">
              <w:rPr>
                <w:rFonts w:ascii="Verdana" w:hAnsi="Verdana" w:cs="Calibri"/>
                <w:bCs/>
                <w:sz w:val="18"/>
                <w:szCs w:val="18"/>
              </w:rPr>
              <w:t>one</w:t>
            </w:r>
            <w:r w:rsidRPr="00F67DEB">
              <w:rPr>
                <w:rFonts w:ascii="Verdana" w:hAnsi="Verdana" w:cs="Calibri"/>
                <w:bCs/>
                <w:sz w:val="18"/>
                <w:szCs w:val="18"/>
              </w:rPr>
              <w:t xml:space="preserve"> of the following: </w:t>
            </w:r>
          </w:p>
          <w:p w14:paraId="0909A855" w14:textId="5B4D8BC4" w:rsidR="00757FCC" w:rsidRPr="00F67DEB" w:rsidRDefault="00562C2C" w:rsidP="005B5B94">
            <w:pPr>
              <w:rPr>
                <w:rFonts w:ascii="Verdana" w:hAnsi="Verdana" w:cs="Calibri"/>
                <w:bCs/>
                <w:sz w:val="18"/>
                <w:szCs w:val="18"/>
              </w:rPr>
            </w:pPr>
            <w:r w:rsidRPr="00F67DEB">
              <w:rPr>
                <w:rFonts w:ascii="Verdana" w:hAnsi="Verdana" w:cs="Calibri"/>
                <w:bCs/>
                <w:sz w:val="18"/>
                <w:szCs w:val="18"/>
              </w:rPr>
              <w:t xml:space="preserve">a) </w:t>
            </w:r>
            <w:r w:rsidR="00433BFD" w:rsidRPr="00F67DEB">
              <w:rPr>
                <w:rFonts w:ascii="Verdana" w:hAnsi="Verdana" w:cs="Calibri"/>
                <w:bCs/>
                <w:sz w:val="18"/>
                <w:szCs w:val="18"/>
              </w:rPr>
              <w:t>PUNO</w:t>
            </w:r>
            <w:r w:rsidR="00757FCC" w:rsidRPr="00F67DEB">
              <w:rPr>
                <w:rFonts w:ascii="Verdana" w:hAnsi="Verdana" w:cs="Calibri"/>
                <w:bCs/>
                <w:sz w:val="18"/>
                <w:szCs w:val="18"/>
              </w:rPr>
              <w:t xml:space="preserve"> ha</w:t>
            </w:r>
            <w:r w:rsidR="00433BFD" w:rsidRPr="00F67DEB">
              <w:rPr>
                <w:rFonts w:ascii="Verdana" w:hAnsi="Verdana" w:cs="Calibri"/>
                <w:bCs/>
                <w:sz w:val="18"/>
                <w:szCs w:val="18"/>
              </w:rPr>
              <w:t>ve</w:t>
            </w:r>
            <w:r w:rsidR="00757FCC" w:rsidRPr="00F67DEB">
              <w:rPr>
                <w:rFonts w:ascii="Verdana" w:hAnsi="Verdana" w:cs="Calibri"/>
                <w:bCs/>
                <w:sz w:val="18"/>
                <w:szCs w:val="18"/>
              </w:rPr>
              <w:t xml:space="preserve"> consulted with at least two government agenc</w:t>
            </w:r>
            <w:r w:rsidR="00433BFD" w:rsidRPr="00F67DEB">
              <w:rPr>
                <w:rFonts w:ascii="Verdana" w:hAnsi="Verdana" w:cs="Calibri"/>
                <w:bCs/>
                <w:sz w:val="18"/>
                <w:szCs w:val="18"/>
              </w:rPr>
              <w:t>ies</w:t>
            </w:r>
            <w:r w:rsidR="00757FCC" w:rsidRPr="00F67DEB">
              <w:rPr>
                <w:rFonts w:ascii="Verdana" w:hAnsi="Verdana" w:cs="Calibri"/>
                <w:bCs/>
                <w:sz w:val="18"/>
                <w:szCs w:val="18"/>
              </w:rPr>
              <w:t xml:space="preserve"> that fosters gender equality within the current proposed project</w:t>
            </w:r>
          </w:p>
          <w:p w14:paraId="28A567D5" w14:textId="7B7D8B0E" w:rsidR="00A84B79" w:rsidRPr="00F67DEB" w:rsidRDefault="00562C2C" w:rsidP="005B5B94">
            <w:pPr>
              <w:rPr>
                <w:rFonts w:ascii="Verdana" w:hAnsi="Verdana" w:cs="Calibri"/>
                <w:bCs/>
                <w:sz w:val="18"/>
                <w:szCs w:val="18"/>
              </w:rPr>
            </w:pPr>
            <w:r w:rsidRPr="00F67DEB">
              <w:rPr>
                <w:rFonts w:ascii="Verdana" w:hAnsi="Verdana" w:cs="Calibri"/>
                <w:bCs/>
                <w:sz w:val="18"/>
                <w:szCs w:val="18"/>
              </w:rPr>
              <w:t xml:space="preserve">b)  The National Women’s Machinery participates in </w:t>
            </w:r>
            <w:r w:rsidR="00757FCC" w:rsidRPr="00F67DEB">
              <w:rPr>
                <w:rFonts w:ascii="Verdana" w:hAnsi="Verdana" w:cs="Calibri"/>
                <w:bCs/>
                <w:sz w:val="18"/>
                <w:szCs w:val="18"/>
              </w:rPr>
              <w:t xml:space="preserve">program </w:t>
            </w:r>
            <w:r w:rsidRPr="00F67DEB">
              <w:rPr>
                <w:rFonts w:ascii="Verdana" w:hAnsi="Verdana" w:cs="Calibri"/>
                <w:bCs/>
                <w:sz w:val="18"/>
                <w:szCs w:val="18"/>
              </w:rPr>
              <w:t xml:space="preserve">consultations: </w:t>
            </w:r>
            <w:r w:rsidR="002E5ABF" w:rsidRPr="00F67DEB">
              <w:rPr>
                <w:rFonts w:ascii="Verdana" w:hAnsi="Verdana" w:cs="Calibri"/>
                <w:bCs/>
                <w:sz w:val="18"/>
                <w:szCs w:val="18"/>
              </w:rPr>
              <w:t>context</w:t>
            </w:r>
            <w:r w:rsidRPr="00F67DEB">
              <w:rPr>
                <w:rFonts w:ascii="Verdana" w:hAnsi="Verdana" w:cs="Calibri"/>
                <w:bCs/>
                <w:sz w:val="18"/>
                <w:szCs w:val="18"/>
              </w:rPr>
              <w:t xml:space="preserve"> analysis, strategic prioritization, implementation, M&amp;E.</w:t>
            </w:r>
          </w:p>
          <w:p w14:paraId="06EF8EA8" w14:textId="08DCCA29" w:rsidR="000448B9" w:rsidRPr="00F67DEB" w:rsidRDefault="00A84B79" w:rsidP="005B5B94">
            <w:pPr>
              <w:rPr>
                <w:rFonts w:ascii="Verdana" w:hAnsi="Verdana" w:cs="Calibri"/>
                <w:bCs/>
                <w:sz w:val="18"/>
                <w:szCs w:val="18"/>
              </w:rPr>
            </w:pPr>
            <w:r w:rsidRPr="00F67DEB">
              <w:rPr>
                <w:rFonts w:ascii="Verdana" w:hAnsi="Verdana" w:cs="Calibri"/>
                <w:bCs/>
                <w:sz w:val="18"/>
                <w:szCs w:val="18"/>
              </w:rPr>
              <w:t xml:space="preserve">c) The </w:t>
            </w:r>
            <w:r w:rsidR="00433BFD" w:rsidRPr="00F67DEB">
              <w:rPr>
                <w:rFonts w:ascii="Verdana" w:hAnsi="Verdana" w:cs="Calibri"/>
                <w:bCs/>
                <w:sz w:val="18"/>
                <w:szCs w:val="18"/>
              </w:rPr>
              <w:t>programme</w:t>
            </w:r>
            <w:r w:rsidRPr="00F67DEB">
              <w:rPr>
                <w:rFonts w:ascii="Verdana" w:hAnsi="Verdana" w:cs="Calibri"/>
                <w:bCs/>
                <w:sz w:val="18"/>
                <w:szCs w:val="18"/>
              </w:rPr>
              <w:t xml:space="preserve"> contributes to substantively strengthen Government participation and engagement in gender related SDGs localization and/or implementation</w:t>
            </w:r>
          </w:p>
        </w:tc>
        <w:tc>
          <w:tcPr>
            <w:tcW w:w="3009" w:type="dxa"/>
          </w:tcPr>
          <w:p w14:paraId="7AE03448" w14:textId="643D1E6B" w:rsidR="00A84B79" w:rsidRPr="00F67DEB" w:rsidRDefault="00562C2C" w:rsidP="005B5B94">
            <w:pPr>
              <w:rPr>
                <w:rFonts w:ascii="Verdana" w:hAnsi="Verdana" w:cs="Calibri"/>
                <w:bCs/>
                <w:sz w:val="18"/>
                <w:szCs w:val="18"/>
              </w:rPr>
            </w:pPr>
            <w:r w:rsidRPr="00F67DEB">
              <w:rPr>
                <w:rFonts w:ascii="Verdana" w:hAnsi="Verdana" w:cs="Calibri"/>
                <w:bCs/>
                <w:sz w:val="18"/>
                <w:szCs w:val="18"/>
              </w:rPr>
              <w:t xml:space="preserve">Meets </w:t>
            </w:r>
            <w:r w:rsidR="00A84B79" w:rsidRPr="00F67DEB">
              <w:rPr>
                <w:rFonts w:ascii="Verdana" w:hAnsi="Verdana" w:cs="Calibri"/>
                <w:bCs/>
                <w:sz w:val="18"/>
                <w:szCs w:val="18"/>
              </w:rPr>
              <w:t>all</w:t>
            </w:r>
            <w:r w:rsidRPr="00F67DEB">
              <w:rPr>
                <w:rFonts w:ascii="Verdana" w:hAnsi="Verdana" w:cs="Calibri"/>
                <w:bCs/>
                <w:sz w:val="18"/>
                <w:szCs w:val="18"/>
              </w:rPr>
              <w:t xml:space="preserve"> of the following: </w:t>
            </w:r>
          </w:p>
          <w:p w14:paraId="67C9234C" w14:textId="68925577" w:rsidR="00A84B79" w:rsidRPr="00F67DEB" w:rsidRDefault="00433BFD" w:rsidP="005B5B94">
            <w:pPr>
              <w:rPr>
                <w:rFonts w:ascii="Verdana" w:hAnsi="Verdana" w:cs="Calibri"/>
                <w:bCs/>
                <w:sz w:val="18"/>
                <w:szCs w:val="18"/>
              </w:rPr>
            </w:pPr>
            <w:r w:rsidRPr="00F67DEB">
              <w:rPr>
                <w:rFonts w:ascii="Verdana" w:hAnsi="Verdana" w:cs="Calibri"/>
                <w:bCs/>
                <w:sz w:val="18"/>
                <w:szCs w:val="18"/>
              </w:rPr>
              <w:t>a) PUNO</w:t>
            </w:r>
            <w:r w:rsidR="00A84B79" w:rsidRPr="00F67DEB">
              <w:rPr>
                <w:rFonts w:ascii="Verdana" w:hAnsi="Verdana" w:cs="Calibri"/>
                <w:bCs/>
                <w:sz w:val="18"/>
                <w:szCs w:val="18"/>
              </w:rPr>
              <w:t xml:space="preserve"> ha</w:t>
            </w:r>
            <w:r w:rsidRPr="00F67DEB">
              <w:rPr>
                <w:rFonts w:ascii="Verdana" w:hAnsi="Verdana" w:cs="Calibri"/>
                <w:bCs/>
                <w:sz w:val="18"/>
                <w:szCs w:val="18"/>
              </w:rPr>
              <w:t>ve</w:t>
            </w:r>
            <w:r w:rsidR="00A84B79" w:rsidRPr="00F67DEB">
              <w:rPr>
                <w:rFonts w:ascii="Verdana" w:hAnsi="Verdana" w:cs="Calibri"/>
                <w:bCs/>
                <w:sz w:val="18"/>
                <w:szCs w:val="18"/>
              </w:rPr>
              <w:t xml:space="preserve"> consulted with at least two government agenc</w:t>
            </w:r>
            <w:r w:rsidRPr="00F67DEB">
              <w:rPr>
                <w:rFonts w:ascii="Verdana" w:hAnsi="Verdana" w:cs="Calibri"/>
                <w:bCs/>
                <w:sz w:val="18"/>
                <w:szCs w:val="18"/>
              </w:rPr>
              <w:t>ies</w:t>
            </w:r>
            <w:r w:rsidR="00A84B79" w:rsidRPr="00F67DEB">
              <w:rPr>
                <w:rFonts w:ascii="Verdana" w:hAnsi="Verdana" w:cs="Calibri"/>
                <w:bCs/>
                <w:sz w:val="18"/>
                <w:szCs w:val="18"/>
              </w:rPr>
              <w:t xml:space="preserve"> that fosters gender equality within the current proposed project</w:t>
            </w:r>
          </w:p>
          <w:p w14:paraId="138289FF" w14:textId="19444623" w:rsidR="000448B9" w:rsidRPr="00F67DEB" w:rsidRDefault="00A84B79" w:rsidP="005B5B94">
            <w:pPr>
              <w:rPr>
                <w:rFonts w:ascii="Verdana" w:hAnsi="Verdana" w:cs="Calibri"/>
                <w:bCs/>
                <w:sz w:val="18"/>
                <w:szCs w:val="18"/>
              </w:rPr>
            </w:pPr>
            <w:r w:rsidRPr="00F67DEB">
              <w:rPr>
                <w:rFonts w:ascii="Verdana" w:hAnsi="Verdana" w:cs="Calibri"/>
                <w:bCs/>
                <w:sz w:val="18"/>
                <w:szCs w:val="18"/>
              </w:rPr>
              <w:t>b)  The National Women’s Machinery participates in program consultations: country analysis, strategic prioritization, implementation, M&amp;E.</w:t>
            </w:r>
          </w:p>
          <w:p w14:paraId="11F4BEC7" w14:textId="2F12185B" w:rsidR="00A84B79" w:rsidRPr="00F67DEB" w:rsidRDefault="00A84B79" w:rsidP="005B5B94">
            <w:pPr>
              <w:rPr>
                <w:rFonts w:ascii="Verdana" w:hAnsi="Verdana" w:cs="Calibri"/>
                <w:bCs/>
                <w:sz w:val="18"/>
                <w:szCs w:val="18"/>
              </w:rPr>
            </w:pPr>
            <w:r w:rsidRPr="00F67DEB">
              <w:rPr>
                <w:rFonts w:ascii="Verdana" w:hAnsi="Verdana" w:cs="Calibri"/>
                <w:bCs/>
                <w:sz w:val="18"/>
                <w:szCs w:val="18"/>
              </w:rPr>
              <w:t xml:space="preserve">c) The </w:t>
            </w:r>
            <w:r w:rsidR="00433BFD" w:rsidRPr="00F67DEB">
              <w:rPr>
                <w:rFonts w:ascii="Verdana" w:hAnsi="Verdana" w:cs="Calibri"/>
                <w:bCs/>
                <w:sz w:val="18"/>
                <w:szCs w:val="18"/>
              </w:rPr>
              <w:t>programme</w:t>
            </w:r>
            <w:r w:rsidRPr="00F67DEB">
              <w:rPr>
                <w:rFonts w:ascii="Verdana" w:hAnsi="Verdana" w:cs="Calibri"/>
                <w:bCs/>
                <w:sz w:val="18"/>
                <w:szCs w:val="18"/>
              </w:rPr>
              <w:t xml:space="preserve"> contributes to substantively strengthen Government participation and engagement in gender related SDGs localization and/or implementation</w:t>
            </w:r>
          </w:p>
          <w:p w14:paraId="2F406B6B" w14:textId="5BC79A97" w:rsidR="00A84B79" w:rsidRPr="00F67DEB" w:rsidRDefault="00A84B79" w:rsidP="005B5B94">
            <w:pPr>
              <w:rPr>
                <w:rFonts w:ascii="Verdana" w:hAnsi="Verdana" w:cs="Calibri"/>
                <w:bCs/>
                <w:sz w:val="18"/>
                <w:szCs w:val="18"/>
              </w:rPr>
            </w:pPr>
          </w:p>
        </w:tc>
      </w:tr>
    </w:tbl>
    <w:p w14:paraId="2AF603F4" w14:textId="66613C24" w:rsidR="002E7CA1" w:rsidRDefault="002E7CA1" w:rsidP="005B5B94">
      <w:pPr>
        <w:spacing w:after="0" w:line="240" w:lineRule="auto"/>
        <w:jc w:val="both"/>
        <w:rPr>
          <w:rFonts w:ascii="Verdana" w:hAnsi="Verdana" w:cs="Calibri"/>
          <w:bCs/>
          <w:sz w:val="20"/>
          <w:szCs w:val="20"/>
        </w:rPr>
      </w:pPr>
    </w:p>
    <w:p w14:paraId="3B4D2FEF" w14:textId="77777777" w:rsidR="00F67DEB" w:rsidRPr="00704B12" w:rsidRDefault="00F67DEB" w:rsidP="005B5B94">
      <w:pPr>
        <w:spacing w:after="0" w:line="240" w:lineRule="auto"/>
        <w:jc w:val="both"/>
        <w:rPr>
          <w:rFonts w:ascii="Verdana" w:hAnsi="Verdana" w:cs="Calibri"/>
          <w:bCs/>
          <w:sz w:val="20"/>
          <w:szCs w:val="20"/>
        </w:rPr>
      </w:pPr>
    </w:p>
    <w:p w14:paraId="125197E0" w14:textId="298E5E8D" w:rsidR="00B2625A" w:rsidRPr="00704B12" w:rsidRDefault="00B2625A" w:rsidP="005B5B94">
      <w:pPr>
        <w:spacing w:after="0" w:line="240" w:lineRule="auto"/>
        <w:jc w:val="both"/>
        <w:rPr>
          <w:rFonts w:ascii="Verdana" w:hAnsi="Verdana" w:cs="Calibri"/>
          <w:b/>
          <w:color w:val="4F81BD" w:themeColor="accent1"/>
          <w:sz w:val="20"/>
          <w:szCs w:val="20"/>
        </w:rPr>
      </w:pPr>
      <w:r w:rsidRPr="00704B12">
        <w:rPr>
          <w:rFonts w:ascii="Verdana" w:hAnsi="Verdana" w:cs="Calibri"/>
          <w:b/>
          <w:color w:val="4F81BD" w:themeColor="accent1"/>
          <w:sz w:val="20"/>
          <w:szCs w:val="20"/>
        </w:rPr>
        <w:lastRenderedPageBreak/>
        <w:t xml:space="preserve">Steps to Score this </w:t>
      </w:r>
      <w:r w:rsidR="00FA5161" w:rsidRPr="00704B12">
        <w:rPr>
          <w:rFonts w:ascii="Verdana" w:hAnsi="Verdana" w:cs="Calibri"/>
          <w:b/>
          <w:color w:val="4F81BD" w:themeColor="accent1"/>
          <w:sz w:val="20"/>
          <w:szCs w:val="20"/>
        </w:rPr>
        <w:t>indicator:</w:t>
      </w:r>
      <w:r w:rsidRPr="00704B12">
        <w:rPr>
          <w:rFonts w:ascii="Verdana" w:hAnsi="Verdana" w:cs="Calibri"/>
          <w:b/>
          <w:color w:val="4F81BD" w:themeColor="accent1"/>
          <w:sz w:val="20"/>
          <w:szCs w:val="20"/>
        </w:rPr>
        <w:t xml:space="preserve"> </w:t>
      </w:r>
    </w:p>
    <w:p w14:paraId="476195A4" w14:textId="77777777" w:rsidR="00FA5161" w:rsidRPr="00704B12" w:rsidRDefault="00083AB5" w:rsidP="005B5B94">
      <w:pPr>
        <w:pStyle w:val="ListParagraph"/>
        <w:numPr>
          <w:ilvl w:val="0"/>
          <w:numId w:val="16"/>
        </w:numPr>
        <w:spacing w:after="0" w:line="240" w:lineRule="auto"/>
        <w:jc w:val="both"/>
        <w:rPr>
          <w:rFonts w:ascii="Verdana" w:hAnsi="Verdana" w:cs="Calibri"/>
          <w:bCs/>
          <w:sz w:val="20"/>
          <w:szCs w:val="20"/>
        </w:rPr>
      </w:pPr>
      <w:r w:rsidRPr="00704B12">
        <w:rPr>
          <w:rFonts w:ascii="Verdana" w:hAnsi="Verdana" w:cs="Calibri"/>
          <w:bCs/>
          <w:sz w:val="20"/>
          <w:szCs w:val="20"/>
        </w:rPr>
        <w:t xml:space="preserve">Make a list of </w:t>
      </w:r>
      <w:r w:rsidR="00FA5161" w:rsidRPr="00704B12">
        <w:rPr>
          <w:rFonts w:ascii="Verdana" w:hAnsi="Verdana" w:cs="Calibri"/>
          <w:bCs/>
          <w:sz w:val="20"/>
          <w:szCs w:val="20"/>
        </w:rPr>
        <w:t>consultation</w:t>
      </w:r>
      <w:r w:rsidRPr="00704B12">
        <w:rPr>
          <w:rFonts w:ascii="Verdana" w:hAnsi="Verdana" w:cs="Calibri"/>
          <w:bCs/>
          <w:sz w:val="20"/>
          <w:szCs w:val="20"/>
        </w:rPr>
        <w:t xml:space="preserve"> with government agencies designed to foster gender equality undertaken within the </w:t>
      </w:r>
      <w:r w:rsidR="00FA5161" w:rsidRPr="00704B12">
        <w:rPr>
          <w:rFonts w:ascii="Verdana" w:hAnsi="Verdana" w:cs="Calibri"/>
          <w:bCs/>
          <w:sz w:val="20"/>
          <w:szCs w:val="20"/>
        </w:rPr>
        <w:t>Project</w:t>
      </w:r>
      <w:r w:rsidRPr="00704B12">
        <w:rPr>
          <w:rFonts w:ascii="Verdana" w:hAnsi="Verdana" w:cs="Calibri"/>
          <w:bCs/>
          <w:sz w:val="20"/>
          <w:szCs w:val="20"/>
        </w:rPr>
        <w:t xml:space="preserve"> cycle.</w:t>
      </w:r>
    </w:p>
    <w:p w14:paraId="39CA0E47" w14:textId="77777777" w:rsidR="00FA5161" w:rsidRPr="00704B12" w:rsidRDefault="00083AB5" w:rsidP="005B5B94">
      <w:pPr>
        <w:pStyle w:val="ListParagraph"/>
        <w:numPr>
          <w:ilvl w:val="0"/>
          <w:numId w:val="16"/>
        </w:numPr>
        <w:spacing w:after="0" w:line="240" w:lineRule="auto"/>
        <w:jc w:val="both"/>
        <w:rPr>
          <w:rFonts w:ascii="Verdana" w:hAnsi="Verdana" w:cs="Calibri"/>
          <w:bCs/>
          <w:sz w:val="20"/>
          <w:szCs w:val="20"/>
        </w:rPr>
      </w:pPr>
      <w:r w:rsidRPr="00704B12">
        <w:rPr>
          <w:rFonts w:ascii="Verdana" w:hAnsi="Verdana" w:cs="Calibri"/>
          <w:bCs/>
          <w:sz w:val="20"/>
          <w:szCs w:val="20"/>
        </w:rPr>
        <w:t xml:space="preserve">Define what constitutes the National Women’s Machinery. Review the evidence to assess the extent to which the women’s machinery was engaged in key </w:t>
      </w:r>
      <w:r w:rsidR="00FA5161" w:rsidRPr="00704B12">
        <w:rPr>
          <w:rFonts w:ascii="Verdana" w:hAnsi="Verdana" w:cs="Calibri"/>
          <w:bCs/>
          <w:sz w:val="20"/>
          <w:szCs w:val="20"/>
        </w:rPr>
        <w:t>project</w:t>
      </w:r>
      <w:r w:rsidRPr="00704B12">
        <w:rPr>
          <w:rFonts w:ascii="Verdana" w:hAnsi="Verdana" w:cs="Calibri"/>
          <w:bCs/>
          <w:sz w:val="20"/>
          <w:szCs w:val="20"/>
        </w:rPr>
        <w:t xml:space="preserve"> processes (criterion b). </w:t>
      </w:r>
    </w:p>
    <w:p w14:paraId="1976722F" w14:textId="683C089A" w:rsidR="00FA5161" w:rsidRPr="00704B12" w:rsidRDefault="00083AB5" w:rsidP="005B5B94">
      <w:pPr>
        <w:pStyle w:val="ListParagraph"/>
        <w:numPr>
          <w:ilvl w:val="0"/>
          <w:numId w:val="16"/>
        </w:numPr>
        <w:spacing w:after="0" w:line="240" w:lineRule="auto"/>
        <w:jc w:val="both"/>
        <w:rPr>
          <w:rFonts w:ascii="Verdana" w:hAnsi="Verdana" w:cs="Calibri"/>
          <w:bCs/>
          <w:sz w:val="20"/>
          <w:szCs w:val="20"/>
        </w:rPr>
      </w:pPr>
      <w:r w:rsidRPr="00704B12">
        <w:rPr>
          <w:rFonts w:ascii="Verdana" w:hAnsi="Verdana" w:cs="Calibri"/>
          <w:bCs/>
          <w:sz w:val="20"/>
          <w:szCs w:val="20"/>
        </w:rPr>
        <w:t xml:space="preserve">Review the list created in Step 1 to see whether or not the </w:t>
      </w:r>
      <w:r w:rsidR="00FA5161" w:rsidRPr="00704B12">
        <w:rPr>
          <w:rFonts w:ascii="Verdana" w:hAnsi="Verdana" w:cs="Calibri"/>
          <w:bCs/>
          <w:sz w:val="20"/>
          <w:szCs w:val="20"/>
        </w:rPr>
        <w:t>project</w:t>
      </w:r>
      <w:r w:rsidRPr="00704B12">
        <w:rPr>
          <w:rFonts w:ascii="Verdana" w:hAnsi="Verdana" w:cs="Calibri"/>
          <w:bCs/>
          <w:sz w:val="20"/>
          <w:szCs w:val="20"/>
        </w:rPr>
        <w:t xml:space="preserve"> </w:t>
      </w:r>
      <w:r w:rsidR="00FA5161" w:rsidRPr="00704B12">
        <w:rPr>
          <w:rFonts w:ascii="Verdana" w:hAnsi="Verdana" w:cs="Calibri"/>
          <w:bCs/>
          <w:sz w:val="20"/>
          <w:szCs w:val="20"/>
        </w:rPr>
        <w:t xml:space="preserve">contributes to </w:t>
      </w:r>
      <w:r w:rsidRPr="00704B12">
        <w:rPr>
          <w:rFonts w:ascii="Verdana" w:hAnsi="Verdana" w:cs="Calibri"/>
          <w:bCs/>
          <w:sz w:val="20"/>
          <w:szCs w:val="20"/>
        </w:rPr>
        <w:t>strengthen</w:t>
      </w:r>
      <w:r w:rsidR="00FA5161" w:rsidRPr="00704B12">
        <w:rPr>
          <w:rFonts w:ascii="Verdana" w:hAnsi="Verdana" w:cs="Calibri"/>
          <w:bCs/>
          <w:sz w:val="20"/>
          <w:szCs w:val="20"/>
        </w:rPr>
        <w:t xml:space="preserve"> </w:t>
      </w:r>
      <w:r w:rsidRPr="00704B12">
        <w:rPr>
          <w:rFonts w:ascii="Verdana" w:hAnsi="Verdana" w:cs="Calibri"/>
          <w:bCs/>
          <w:sz w:val="20"/>
          <w:szCs w:val="20"/>
        </w:rPr>
        <w:t xml:space="preserve">government participation in gender SDG localization or implementation activities conducted by the UN system (criterion c). </w:t>
      </w:r>
    </w:p>
    <w:p w14:paraId="007097F8" w14:textId="413BC7C1" w:rsidR="00083AB5" w:rsidRPr="00704B12" w:rsidRDefault="00083AB5" w:rsidP="005B5B94">
      <w:pPr>
        <w:pStyle w:val="ListParagraph"/>
        <w:numPr>
          <w:ilvl w:val="0"/>
          <w:numId w:val="16"/>
        </w:numPr>
        <w:spacing w:after="0" w:line="240" w:lineRule="auto"/>
        <w:jc w:val="both"/>
        <w:rPr>
          <w:rFonts w:ascii="Verdana" w:hAnsi="Verdana" w:cs="Calibri"/>
          <w:bCs/>
          <w:sz w:val="20"/>
          <w:szCs w:val="20"/>
        </w:rPr>
      </w:pPr>
      <w:r w:rsidRPr="00704B12">
        <w:rPr>
          <w:rFonts w:ascii="Verdana" w:hAnsi="Verdana" w:cs="Calibri"/>
          <w:bCs/>
          <w:sz w:val="20"/>
          <w:szCs w:val="20"/>
        </w:rPr>
        <w:t xml:space="preserve">Score the indicator based on findings. Fill in the results template, providing details for each criterion to support the rating. </w:t>
      </w:r>
    </w:p>
    <w:p w14:paraId="5DF6C6EC" w14:textId="77777777" w:rsidR="00FA5161" w:rsidRPr="00704B12" w:rsidRDefault="00FA5161" w:rsidP="005B5B94">
      <w:pPr>
        <w:spacing w:after="0" w:line="240" w:lineRule="auto"/>
        <w:rPr>
          <w:rFonts w:ascii="Verdana" w:hAnsi="Verdana" w:cs="Calibri"/>
          <w:bCs/>
          <w:sz w:val="20"/>
          <w:szCs w:val="20"/>
        </w:rPr>
      </w:pPr>
    </w:p>
    <w:tbl>
      <w:tblPr>
        <w:tblStyle w:val="TableGrid"/>
        <w:tblW w:w="0" w:type="auto"/>
        <w:tblLook w:val="04A0" w:firstRow="1" w:lastRow="0" w:firstColumn="1" w:lastColumn="0" w:noHBand="0" w:noVBand="1"/>
      </w:tblPr>
      <w:tblGrid>
        <w:gridCol w:w="3000"/>
        <w:gridCol w:w="3008"/>
        <w:gridCol w:w="3008"/>
      </w:tblGrid>
      <w:tr w:rsidR="002E7CA1" w:rsidRPr="00704B12" w14:paraId="685C724E" w14:textId="77777777" w:rsidTr="00FA5161">
        <w:tc>
          <w:tcPr>
            <w:tcW w:w="9016" w:type="dxa"/>
            <w:gridSpan w:val="3"/>
            <w:shd w:val="clear" w:color="auto" w:fill="548DD4" w:themeFill="text2" w:themeFillTint="99"/>
          </w:tcPr>
          <w:p w14:paraId="3B027558" w14:textId="1162C212" w:rsidR="002E7CA1" w:rsidRPr="00704B12" w:rsidRDefault="002E7CA1" w:rsidP="005B5B94">
            <w:pPr>
              <w:jc w:val="center"/>
              <w:rPr>
                <w:rFonts w:ascii="Verdana" w:hAnsi="Verdana" w:cs="Calibri"/>
                <w:b/>
                <w:color w:val="FFFFFF" w:themeColor="background1"/>
                <w:sz w:val="20"/>
                <w:szCs w:val="20"/>
              </w:rPr>
            </w:pPr>
            <w:r w:rsidRPr="00704B12">
              <w:rPr>
                <w:rFonts w:ascii="Verdana" w:hAnsi="Verdana" w:cs="Calibri"/>
                <w:b/>
                <w:color w:val="FFFFFF" w:themeColor="background1"/>
                <w:sz w:val="20"/>
                <w:szCs w:val="20"/>
              </w:rPr>
              <w:t>Indicator 2.</w:t>
            </w:r>
            <w:r w:rsidR="004E714A" w:rsidRPr="00704B12">
              <w:rPr>
                <w:rFonts w:ascii="Verdana" w:hAnsi="Verdana" w:cs="Calibri"/>
                <w:b/>
                <w:color w:val="FFFFFF" w:themeColor="background1"/>
                <w:sz w:val="20"/>
                <w:szCs w:val="20"/>
              </w:rPr>
              <w:t>2</w:t>
            </w:r>
            <w:r w:rsidRPr="00704B12">
              <w:rPr>
                <w:rFonts w:ascii="Verdana" w:hAnsi="Verdana" w:cs="Calibri"/>
                <w:b/>
                <w:color w:val="FFFFFF" w:themeColor="background1"/>
                <w:sz w:val="20"/>
                <w:szCs w:val="20"/>
              </w:rPr>
              <w:t xml:space="preserve">. </w:t>
            </w:r>
            <w:r w:rsidR="005804AD">
              <w:rPr>
                <w:rFonts w:ascii="Verdana" w:hAnsi="Verdana" w:cs="Calibri"/>
                <w:b/>
                <w:color w:val="FFFFFF" w:themeColor="background1"/>
                <w:sz w:val="20"/>
                <w:szCs w:val="20"/>
              </w:rPr>
              <w:t>PUNO</w:t>
            </w:r>
            <w:r w:rsidR="00757FCC" w:rsidRPr="00704B12">
              <w:rPr>
                <w:rFonts w:ascii="Verdana" w:hAnsi="Verdana" w:cs="Calibri"/>
                <w:b/>
                <w:color w:val="FFFFFF" w:themeColor="background1"/>
                <w:sz w:val="20"/>
                <w:szCs w:val="20"/>
              </w:rPr>
              <w:t xml:space="preserve"> collaborate and engages with women’s/gender </w:t>
            </w:r>
            <w:r w:rsidR="00F67DEB">
              <w:rPr>
                <w:rFonts w:ascii="Verdana" w:hAnsi="Verdana" w:cs="Calibri"/>
                <w:b/>
                <w:color w:val="FFFFFF" w:themeColor="background1"/>
                <w:sz w:val="20"/>
                <w:szCs w:val="20"/>
              </w:rPr>
              <w:t>e</w:t>
            </w:r>
            <w:r w:rsidR="00757FCC" w:rsidRPr="00704B12">
              <w:rPr>
                <w:rFonts w:ascii="Verdana" w:hAnsi="Verdana" w:cs="Calibri"/>
                <w:b/>
                <w:color w:val="FFFFFF" w:themeColor="background1"/>
                <w:sz w:val="20"/>
                <w:szCs w:val="20"/>
              </w:rPr>
              <w:t>quality CSO</w:t>
            </w:r>
            <w:r w:rsidR="005804AD">
              <w:rPr>
                <w:rFonts w:ascii="Verdana" w:hAnsi="Verdana" w:cs="Calibri"/>
                <w:b/>
                <w:color w:val="FFFFFF" w:themeColor="background1"/>
                <w:sz w:val="20"/>
                <w:szCs w:val="20"/>
              </w:rPr>
              <w:t>s</w:t>
            </w:r>
          </w:p>
        </w:tc>
      </w:tr>
      <w:tr w:rsidR="002E7CA1" w:rsidRPr="00704B12" w14:paraId="41A7D108" w14:textId="77777777" w:rsidTr="00FA5161">
        <w:tc>
          <w:tcPr>
            <w:tcW w:w="3000" w:type="dxa"/>
          </w:tcPr>
          <w:p w14:paraId="3D9A0329" w14:textId="77777777" w:rsidR="002E7CA1" w:rsidRPr="00704B12" w:rsidRDefault="002E7CA1" w:rsidP="005B5B94">
            <w:pPr>
              <w:jc w:val="center"/>
              <w:rPr>
                <w:rFonts w:ascii="Verdana" w:hAnsi="Verdana" w:cs="Calibri"/>
                <w:b/>
                <w:sz w:val="18"/>
                <w:szCs w:val="18"/>
              </w:rPr>
            </w:pPr>
            <w:r w:rsidRPr="00704B12">
              <w:rPr>
                <w:rFonts w:ascii="Verdana" w:hAnsi="Verdana" w:cs="Calibri"/>
                <w:b/>
                <w:sz w:val="18"/>
                <w:szCs w:val="18"/>
              </w:rPr>
              <w:t>Approach minimum requirements</w:t>
            </w:r>
          </w:p>
        </w:tc>
        <w:tc>
          <w:tcPr>
            <w:tcW w:w="3008" w:type="dxa"/>
          </w:tcPr>
          <w:p w14:paraId="58781A27" w14:textId="77777777" w:rsidR="002E7CA1" w:rsidRPr="00704B12" w:rsidRDefault="002E7CA1" w:rsidP="005B5B94">
            <w:pPr>
              <w:jc w:val="center"/>
              <w:rPr>
                <w:rFonts w:ascii="Verdana" w:hAnsi="Verdana" w:cs="Calibri"/>
                <w:b/>
                <w:sz w:val="18"/>
                <w:szCs w:val="18"/>
              </w:rPr>
            </w:pPr>
            <w:r w:rsidRPr="00704B12">
              <w:rPr>
                <w:rFonts w:ascii="Verdana" w:hAnsi="Verdana" w:cs="Calibri"/>
                <w:b/>
                <w:sz w:val="18"/>
                <w:szCs w:val="18"/>
              </w:rPr>
              <w:t>Meets Minimum Requirements</w:t>
            </w:r>
          </w:p>
        </w:tc>
        <w:tc>
          <w:tcPr>
            <w:tcW w:w="3008" w:type="dxa"/>
          </w:tcPr>
          <w:p w14:paraId="12903757" w14:textId="77777777" w:rsidR="002E7CA1" w:rsidRPr="00704B12" w:rsidRDefault="002E7CA1" w:rsidP="005B5B94">
            <w:pPr>
              <w:jc w:val="center"/>
              <w:rPr>
                <w:rFonts w:ascii="Verdana" w:hAnsi="Verdana" w:cs="Calibri"/>
                <w:b/>
                <w:sz w:val="18"/>
                <w:szCs w:val="18"/>
              </w:rPr>
            </w:pPr>
            <w:r w:rsidRPr="00704B12">
              <w:rPr>
                <w:rFonts w:ascii="Verdana" w:hAnsi="Verdana" w:cs="Calibri"/>
                <w:b/>
                <w:sz w:val="18"/>
                <w:szCs w:val="18"/>
              </w:rPr>
              <w:t>Exceed Minimum Requirements</w:t>
            </w:r>
          </w:p>
        </w:tc>
      </w:tr>
      <w:tr w:rsidR="002E7CA1" w:rsidRPr="00704B12" w14:paraId="59AA30B7" w14:textId="77777777" w:rsidTr="00FA5161">
        <w:tc>
          <w:tcPr>
            <w:tcW w:w="3000" w:type="dxa"/>
          </w:tcPr>
          <w:p w14:paraId="1068EE1A" w14:textId="6F6C738E" w:rsidR="00562C2C" w:rsidRPr="00F67DEB" w:rsidRDefault="00FA5161" w:rsidP="005B5B94">
            <w:pPr>
              <w:rPr>
                <w:rFonts w:ascii="Verdana" w:hAnsi="Verdana" w:cs="Calibri"/>
                <w:bCs/>
                <w:sz w:val="18"/>
                <w:szCs w:val="18"/>
              </w:rPr>
            </w:pPr>
            <w:r w:rsidRPr="00F67DEB">
              <w:rPr>
                <w:rFonts w:ascii="Verdana" w:hAnsi="Verdana" w:cs="Calibri"/>
                <w:bCs/>
                <w:sz w:val="18"/>
                <w:szCs w:val="18"/>
              </w:rPr>
              <w:t>a)</w:t>
            </w:r>
            <w:r w:rsidR="00562C2C" w:rsidRPr="00F67DEB">
              <w:rPr>
                <w:rFonts w:ascii="Verdana" w:hAnsi="Verdana" w:cs="Calibri"/>
                <w:bCs/>
                <w:sz w:val="18"/>
                <w:szCs w:val="18"/>
              </w:rPr>
              <w:t xml:space="preserve"> The </w:t>
            </w:r>
            <w:r w:rsidRPr="00F67DEB">
              <w:rPr>
                <w:rFonts w:ascii="Verdana" w:hAnsi="Verdana" w:cs="Calibri"/>
                <w:bCs/>
                <w:sz w:val="18"/>
                <w:szCs w:val="18"/>
              </w:rPr>
              <w:t>Applicants</w:t>
            </w:r>
            <w:r w:rsidR="00562C2C" w:rsidRPr="00F67DEB">
              <w:rPr>
                <w:rFonts w:ascii="Verdana" w:hAnsi="Verdana" w:cs="Calibri"/>
                <w:bCs/>
                <w:sz w:val="18"/>
                <w:szCs w:val="18"/>
              </w:rPr>
              <w:t xml:space="preserve"> has collaborated</w:t>
            </w:r>
            <w:r w:rsidRPr="00F67DEB">
              <w:rPr>
                <w:rFonts w:ascii="Verdana" w:hAnsi="Verdana" w:cs="Calibri"/>
                <w:bCs/>
                <w:sz w:val="18"/>
                <w:szCs w:val="18"/>
              </w:rPr>
              <w:t xml:space="preserve"> at least</w:t>
            </w:r>
            <w:r w:rsidR="00562C2C" w:rsidRPr="00F67DEB">
              <w:rPr>
                <w:rFonts w:ascii="Verdana" w:hAnsi="Verdana" w:cs="Calibri"/>
                <w:bCs/>
                <w:sz w:val="18"/>
                <w:szCs w:val="18"/>
              </w:rPr>
              <w:t xml:space="preserve"> with </w:t>
            </w:r>
            <w:r w:rsidRPr="00F67DEB">
              <w:rPr>
                <w:rFonts w:ascii="Verdana" w:hAnsi="Verdana" w:cs="Calibri"/>
                <w:bCs/>
                <w:sz w:val="18"/>
                <w:szCs w:val="18"/>
              </w:rPr>
              <w:t xml:space="preserve">one </w:t>
            </w:r>
            <w:r w:rsidR="00CB34DA" w:rsidRPr="00F67DEB">
              <w:rPr>
                <w:rFonts w:ascii="Verdana" w:hAnsi="Verdana" w:cs="Calibri"/>
                <w:bCs/>
                <w:sz w:val="18"/>
                <w:szCs w:val="18"/>
              </w:rPr>
              <w:t>GEWE</w:t>
            </w:r>
            <w:r w:rsidR="00562C2C" w:rsidRPr="00F67DEB">
              <w:rPr>
                <w:rFonts w:ascii="Verdana" w:hAnsi="Verdana" w:cs="Calibri"/>
                <w:bCs/>
                <w:sz w:val="18"/>
                <w:szCs w:val="18"/>
              </w:rPr>
              <w:t xml:space="preserve"> CSO and women’s </w:t>
            </w:r>
            <w:r w:rsidR="002E5ABF" w:rsidRPr="00F67DEB">
              <w:rPr>
                <w:rFonts w:ascii="Verdana" w:hAnsi="Verdana" w:cs="Calibri"/>
                <w:bCs/>
                <w:sz w:val="18"/>
                <w:szCs w:val="18"/>
              </w:rPr>
              <w:t>rights advocates</w:t>
            </w:r>
            <w:r w:rsidR="00562C2C" w:rsidRPr="00F67DEB">
              <w:rPr>
                <w:rFonts w:ascii="Verdana" w:hAnsi="Verdana" w:cs="Calibri"/>
                <w:bCs/>
                <w:sz w:val="18"/>
                <w:szCs w:val="18"/>
              </w:rPr>
              <w:t xml:space="preserve"> on </w:t>
            </w:r>
            <w:r w:rsidRPr="00F67DEB">
              <w:rPr>
                <w:rFonts w:ascii="Verdana" w:hAnsi="Verdana" w:cs="Calibri"/>
                <w:bCs/>
                <w:sz w:val="18"/>
                <w:szCs w:val="18"/>
              </w:rPr>
              <w:t>elaborating the project</w:t>
            </w:r>
            <w:r w:rsidR="00562C2C" w:rsidRPr="00F67DEB">
              <w:rPr>
                <w:rFonts w:ascii="Verdana" w:hAnsi="Verdana" w:cs="Calibri"/>
                <w:bCs/>
                <w:sz w:val="18"/>
                <w:szCs w:val="18"/>
              </w:rPr>
              <w:t>.</w:t>
            </w:r>
          </w:p>
          <w:p w14:paraId="5E0B043C" w14:textId="77777777" w:rsidR="002E7CA1" w:rsidRPr="00F67DEB" w:rsidRDefault="002E7CA1" w:rsidP="005B5B94">
            <w:pPr>
              <w:rPr>
                <w:rFonts w:ascii="Verdana" w:hAnsi="Verdana" w:cs="Calibri"/>
                <w:bCs/>
                <w:sz w:val="18"/>
                <w:szCs w:val="18"/>
              </w:rPr>
            </w:pPr>
          </w:p>
        </w:tc>
        <w:tc>
          <w:tcPr>
            <w:tcW w:w="3008" w:type="dxa"/>
          </w:tcPr>
          <w:p w14:paraId="53086A96" w14:textId="6E6047B2" w:rsidR="00FA5161" w:rsidRPr="00F67DEB" w:rsidRDefault="00562C2C" w:rsidP="005B5B94">
            <w:pPr>
              <w:rPr>
                <w:rFonts w:ascii="Verdana" w:hAnsi="Verdana" w:cs="Calibri"/>
                <w:bCs/>
                <w:sz w:val="18"/>
                <w:szCs w:val="18"/>
              </w:rPr>
            </w:pPr>
            <w:r w:rsidRPr="00F67DEB">
              <w:rPr>
                <w:rFonts w:ascii="Verdana" w:hAnsi="Verdana" w:cs="Calibri"/>
                <w:bCs/>
                <w:sz w:val="18"/>
                <w:szCs w:val="18"/>
              </w:rPr>
              <w:t xml:space="preserve">Meets two of the following: </w:t>
            </w:r>
          </w:p>
          <w:p w14:paraId="395CF8A0" w14:textId="11943CB8" w:rsidR="00A370A7" w:rsidRPr="00F67DEB" w:rsidRDefault="002E5ABF" w:rsidP="005B5B94">
            <w:pPr>
              <w:rPr>
                <w:rFonts w:ascii="Verdana" w:hAnsi="Verdana" w:cs="Calibri"/>
                <w:bCs/>
                <w:sz w:val="18"/>
                <w:szCs w:val="18"/>
              </w:rPr>
            </w:pPr>
            <w:r w:rsidRPr="00F67DEB">
              <w:rPr>
                <w:rFonts w:ascii="Verdana" w:hAnsi="Verdana" w:cs="Calibri"/>
                <w:bCs/>
                <w:sz w:val="18"/>
                <w:szCs w:val="18"/>
              </w:rPr>
              <w:t xml:space="preserve">a) The </w:t>
            </w:r>
            <w:r w:rsidR="00F67DEB">
              <w:rPr>
                <w:rFonts w:ascii="Verdana" w:hAnsi="Verdana" w:cs="Calibri"/>
                <w:bCs/>
                <w:sz w:val="18"/>
                <w:szCs w:val="18"/>
              </w:rPr>
              <w:t>PUNO</w:t>
            </w:r>
            <w:r w:rsidRPr="00F67DEB">
              <w:rPr>
                <w:rFonts w:ascii="Verdana" w:hAnsi="Verdana" w:cs="Calibri"/>
                <w:bCs/>
                <w:sz w:val="18"/>
                <w:szCs w:val="18"/>
              </w:rPr>
              <w:t xml:space="preserve"> ha</w:t>
            </w:r>
            <w:r w:rsidR="00F67DEB">
              <w:rPr>
                <w:rFonts w:ascii="Verdana" w:hAnsi="Verdana" w:cs="Calibri"/>
                <w:bCs/>
                <w:sz w:val="18"/>
                <w:szCs w:val="18"/>
              </w:rPr>
              <w:t>ve</w:t>
            </w:r>
            <w:r w:rsidRPr="00F67DEB">
              <w:rPr>
                <w:rFonts w:ascii="Verdana" w:hAnsi="Verdana" w:cs="Calibri"/>
                <w:bCs/>
                <w:sz w:val="18"/>
                <w:szCs w:val="18"/>
              </w:rPr>
              <w:t xml:space="preserve"> collaborated at least with two </w:t>
            </w:r>
            <w:r w:rsidR="00CB34DA" w:rsidRPr="00F67DEB">
              <w:rPr>
                <w:rFonts w:ascii="Verdana" w:hAnsi="Verdana" w:cs="Calibri"/>
                <w:bCs/>
                <w:sz w:val="18"/>
                <w:szCs w:val="18"/>
              </w:rPr>
              <w:t>GEWE</w:t>
            </w:r>
            <w:r w:rsidRPr="00F67DEB">
              <w:rPr>
                <w:rFonts w:ascii="Verdana" w:hAnsi="Verdana" w:cs="Calibri"/>
                <w:bCs/>
                <w:sz w:val="18"/>
                <w:szCs w:val="18"/>
              </w:rPr>
              <w:t xml:space="preserve"> CSO and women’s rights advocates on elaborating the project.</w:t>
            </w:r>
          </w:p>
          <w:p w14:paraId="2ACDAFD0" w14:textId="0EB5CFE4" w:rsidR="00A370A7" w:rsidRPr="00F67DEB" w:rsidRDefault="00562C2C" w:rsidP="005B5B94">
            <w:pPr>
              <w:rPr>
                <w:rFonts w:ascii="Verdana" w:hAnsi="Verdana" w:cs="Calibri"/>
                <w:bCs/>
                <w:sz w:val="18"/>
                <w:szCs w:val="18"/>
              </w:rPr>
            </w:pPr>
            <w:r w:rsidRPr="00F67DEB">
              <w:rPr>
                <w:rFonts w:ascii="Verdana" w:hAnsi="Verdana" w:cs="Calibri"/>
                <w:bCs/>
                <w:sz w:val="18"/>
                <w:szCs w:val="18"/>
              </w:rPr>
              <w:t xml:space="preserve">b)  </w:t>
            </w:r>
            <w:r w:rsidR="00CB34DA" w:rsidRPr="00F67DEB">
              <w:rPr>
                <w:rFonts w:ascii="Verdana" w:hAnsi="Verdana" w:cs="Calibri"/>
                <w:bCs/>
                <w:sz w:val="18"/>
                <w:szCs w:val="18"/>
              </w:rPr>
              <w:t>GEWE</w:t>
            </w:r>
            <w:r w:rsidRPr="00F67DEB">
              <w:rPr>
                <w:rFonts w:ascii="Verdana" w:hAnsi="Verdana" w:cs="Calibri"/>
                <w:bCs/>
                <w:sz w:val="18"/>
                <w:szCs w:val="18"/>
              </w:rPr>
              <w:t xml:space="preserve"> CSO participates in </w:t>
            </w:r>
            <w:r w:rsidR="002E5ABF" w:rsidRPr="00F67DEB">
              <w:rPr>
                <w:rFonts w:ascii="Verdana" w:hAnsi="Verdana" w:cs="Calibri"/>
                <w:bCs/>
                <w:sz w:val="18"/>
                <w:szCs w:val="18"/>
              </w:rPr>
              <w:t>project</w:t>
            </w:r>
            <w:r w:rsidRPr="00F67DEB">
              <w:rPr>
                <w:rFonts w:ascii="Verdana" w:hAnsi="Verdana" w:cs="Calibri"/>
                <w:bCs/>
                <w:sz w:val="18"/>
                <w:szCs w:val="18"/>
              </w:rPr>
              <w:t xml:space="preserve"> consultations: </w:t>
            </w:r>
            <w:r w:rsidR="002E5ABF" w:rsidRPr="00F67DEB">
              <w:rPr>
                <w:rFonts w:ascii="Verdana" w:hAnsi="Verdana" w:cs="Calibri"/>
                <w:bCs/>
                <w:sz w:val="18"/>
                <w:szCs w:val="18"/>
              </w:rPr>
              <w:t xml:space="preserve">context </w:t>
            </w:r>
            <w:r w:rsidRPr="00F67DEB">
              <w:rPr>
                <w:rFonts w:ascii="Verdana" w:hAnsi="Verdana" w:cs="Calibri"/>
                <w:bCs/>
                <w:sz w:val="18"/>
                <w:szCs w:val="18"/>
              </w:rPr>
              <w:t xml:space="preserve">analysis, strategic prioritization, implementation, M&amp;E. </w:t>
            </w:r>
          </w:p>
          <w:p w14:paraId="67AE53F3" w14:textId="03265150" w:rsidR="002E7CA1" w:rsidRPr="00F67DEB" w:rsidRDefault="002E5ABF" w:rsidP="005B5B94">
            <w:pPr>
              <w:rPr>
                <w:rFonts w:ascii="Verdana" w:hAnsi="Verdana" w:cs="Calibri"/>
                <w:bCs/>
                <w:sz w:val="18"/>
                <w:szCs w:val="18"/>
              </w:rPr>
            </w:pPr>
            <w:r w:rsidRPr="00F67DEB">
              <w:rPr>
                <w:rFonts w:ascii="Verdana" w:hAnsi="Verdana" w:cs="Calibri"/>
                <w:bCs/>
                <w:sz w:val="18"/>
                <w:szCs w:val="18"/>
              </w:rPr>
              <w:t xml:space="preserve">c) The </w:t>
            </w:r>
            <w:r w:rsidR="00F67DEB">
              <w:rPr>
                <w:rFonts w:ascii="Verdana" w:hAnsi="Verdana" w:cs="Calibri"/>
                <w:bCs/>
                <w:sz w:val="18"/>
                <w:szCs w:val="18"/>
              </w:rPr>
              <w:t>programme</w:t>
            </w:r>
            <w:r w:rsidRPr="00F67DEB">
              <w:rPr>
                <w:rFonts w:ascii="Verdana" w:hAnsi="Verdana" w:cs="Calibri"/>
                <w:bCs/>
                <w:sz w:val="18"/>
                <w:szCs w:val="18"/>
              </w:rPr>
              <w:t xml:space="preserve"> contributes to substantively strengthen </w:t>
            </w:r>
            <w:r w:rsidR="00CB34DA" w:rsidRPr="00F67DEB">
              <w:rPr>
                <w:rFonts w:ascii="Verdana" w:hAnsi="Verdana" w:cs="Calibri"/>
                <w:bCs/>
                <w:sz w:val="18"/>
                <w:szCs w:val="18"/>
              </w:rPr>
              <w:t>GEWE</w:t>
            </w:r>
            <w:r w:rsidRPr="00F67DEB">
              <w:rPr>
                <w:rFonts w:ascii="Verdana" w:hAnsi="Verdana" w:cs="Calibri"/>
                <w:bCs/>
                <w:sz w:val="18"/>
                <w:szCs w:val="18"/>
              </w:rPr>
              <w:t xml:space="preserve"> CSO participation and engagement in gender related SDGs localization and/or implementation</w:t>
            </w:r>
          </w:p>
        </w:tc>
        <w:tc>
          <w:tcPr>
            <w:tcW w:w="3008" w:type="dxa"/>
          </w:tcPr>
          <w:p w14:paraId="57CEAABE" w14:textId="6FF52349" w:rsidR="00FA5161" w:rsidRPr="00F67DEB" w:rsidRDefault="00562C2C" w:rsidP="005B5B94">
            <w:pPr>
              <w:rPr>
                <w:rFonts w:ascii="Verdana" w:hAnsi="Verdana" w:cs="Calibri"/>
                <w:bCs/>
                <w:sz w:val="18"/>
                <w:szCs w:val="18"/>
              </w:rPr>
            </w:pPr>
            <w:r w:rsidRPr="00F67DEB">
              <w:rPr>
                <w:rFonts w:ascii="Verdana" w:hAnsi="Verdana" w:cs="Calibri"/>
                <w:bCs/>
                <w:sz w:val="18"/>
                <w:szCs w:val="18"/>
              </w:rPr>
              <w:t xml:space="preserve">Meets all of the following: </w:t>
            </w:r>
          </w:p>
          <w:p w14:paraId="508E1D31" w14:textId="5E494E3B" w:rsidR="002E5ABF" w:rsidRPr="00F67DEB" w:rsidRDefault="002E5ABF" w:rsidP="005B5B94">
            <w:pPr>
              <w:rPr>
                <w:rFonts w:ascii="Verdana" w:hAnsi="Verdana" w:cs="Calibri"/>
                <w:bCs/>
                <w:sz w:val="18"/>
                <w:szCs w:val="18"/>
              </w:rPr>
            </w:pPr>
            <w:r w:rsidRPr="00F67DEB">
              <w:rPr>
                <w:rFonts w:ascii="Verdana" w:hAnsi="Verdana" w:cs="Calibri"/>
                <w:bCs/>
                <w:sz w:val="18"/>
                <w:szCs w:val="18"/>
              </w:rPr>
              <w:t xml:space="preserve">a) The </w:t>
            </w:r>
            <w:r w:rsidR="00F67DEB">
              <w:rPr>
                <w:rFonts w:ascii="Verdana" w:hAnsi="Verdana" w:cs="Calibri"/>
                <w:bCs/>
                <w:sz w:val="18"/>
                <w:szCs w:val="18"/>
              </w:rPr>
              <w:t>PUNO</w:t>
            </w:r>
            <w:r w:rsidRPr="00F67DEB">
              <w:rPr>
                <w:rFonts w:ascii="Verdana" w:hAnsi="Verdana" w:cs="Calibri"/>
                <w:bCs/>
                <w:sz w:val="18"/>
                <w:szCs w:val="18"/>
              </w:rPr>
              <w:t xml:space="preserve"> ha</w:t>
            </w:r>
            <w:r w:rsidR="00F67DEB">
              <w:rPr>
                <w:rFonts w:ascii="Verdana" w:hAnsi="Verdana" w:cs="Calibri"/>
                <w:bCs/>
                <w:sz w:val="18"/>
                <w:szCs w:val="18"/>
              </w:rPr>
              <w:t>ve</w:t>
            </w:r>
            <w:r w:rsidRPr="00F67DEB">
              <w:rPr>
                <w:rFonts w:ascii="Verdana" w:hAnsi="Verdana" w:cs="Calibri"/>
                <w:bCs/>
                <w:sz w:val="18"/>
                <w:szCs w:val="18"/>
              </w:rPr>
              <w:t xml:space="preserve"> collaborated at least with two </w:t>
            </w:r>
            <w:r w:rsidR="00CB34DA" w:rsidRPr="00F67DEB">
              <w:rPr>
                <w:rFonts w:ascii="Verdana" w:hAnsi="Verdana" w:cs="Calibri"/>
                <w:bCs/>
                <w:sz w:val="18"/>
                <w:szCs w:val="18"/>
              </w:rPr>
              <w:t>GEWE</w:t>
            </w:r>
            <w:r w:rsidRPr="00F67DEB">
              <w:rPr>
                <w:rFonts w:ascii="Verdana" w:hAnsi="Verdana" w:cs="Calibri"/>
                <w:bCs/>
                <w:sz w:val="18"/>
                <w:szCs w:val="18"/>
              </w:rPr>
              <w:t xml:space="preserve"> CSO and women’s rights advocates on elaborating the project.</w:t>
            </w:r>
          </w:p>
          <w:p w14:paraId="4111FC7B" w14:textId="7C3AFF06" w:rsidR="002E5ABF" w:rsidRPr="00F67DEB" w:rsidRDefault="002E5ABF" w:rsidP="005B5B94">
            <w:pPr>
              <w:rPr>
                <w:rFonts w:ascii="Verdana" w:hAnsi="Verdana" w:cs="Calibri"/>
                <w:bCs/>
                <w:sz w:val="18"/>
                <w:szCs w:val="18"/>
              </w:rPr>
            </w:pPr>
            <w:r w:rsidRPr="00F67DEB">
              <w:rPr>
                <w:rFonts w:ascii="Verdana" w:hAnsi="Verdana" w:cs="Calibri"/>
                <w:bCs/>
                <w:sz w:val="18"/>
                <w:szCs w:val="18"/>
              </w:rPr>
              <w:t xml:space="preserve">b)  </w:t>
            </w:r>
            <w:r w:rsidR="00CB34DA" w:rsidRPr="00F67DEB">
              <w:rPr>
                <w:rFonts w:ascii="Verdana" w:hAnsi="Verdana" w:cs="Calibri"/>
                <w:bCs/>
                <w:sz w:val="18"/>
                <w:szCs w:val="18"/>
              </w:rPr>
              <w:t>GEWE</w:t>
            </w:r>
            <w:r w:rsidRPr="00F67DEB">
              <w:rPr>
                <w:rFonts w:ascii="Verdana" w:hAnsi="Verdana" w:cs="Calibri"/>
                <w:bCs/>
                <w:sz w:val="18"/>
                <w:szCs w:val="18"/>
              </w:rPr>
              <w:t xml:space="preserve"> CSO participates in project consultations: context analysis, strategic prioritization, implementation, M&amp;E. </w:t>
            </w:r>
          </w:p>
          <w:p w14:paraId="25D78F89" w14:textId="3D4B0C5E" w:rsidR="002E7CA1" w:rsidRPr="00F67DEB" w:rsidRDefault="002E5ABF" w:rsidP="005B5B94">
            <w:pPr>
              <w:rPr>
                <w:rFonts w:ascii="Verdana" w:hAnsi="Verdana" w:cs="Calibri"/>
                <w:bCs/>
                <w:sz w:val="18"/>
                <w:szCs w:val="18"/>
              </w:rPr>
            </w:pPr>
            <w:r w:rsidRPr="00F67DEB">
              <w:rPr>
                <w:rFonts w:ascii="Verdana" w:hAnsi="Verdana" w:cs="Calibri"/>
                <w:bCs/>
                <w:sz w:val="18"/>
                <w:szCs w:val="18"/>
              </w:rPr>
              <w:t xml:space="preserve">c) The </w:t>
            </w:r>
            <w:r w:rsidR="00F67DEB">
              <w:rPr>
                <w:rFonts w:ascii="Verdana" w:hAnsi="Verdana" w:cs="Calibri"/>
                <w:bCs/>
                <w:sz w:val="18"/>
                <w:szCs w:val="18"/>
              </w:rPr>
              <w:t>programme</w:t>
            </w:r>
            <w:r w:rsidRPr="00F67DEB">
              <w:rPr>
                <w:rFonts w:ascii="Verdana" w:hAnsi="Verdana" w:cs="Calibri"/>
                <w:bCs/>
                <w:sz w:val="18"/>
                <w:szCs w:val="18"/>
              </w:rPr>
              <w:t xml:space="preserve"> contributes to substantively strengthen </w:t>
            </w:r>
            <w:r w:rsidR="00CB34DA" w:rsidRPr="00F67DEB">
              <w:rPr>
                <w:rFonts w:ascii="Verdana" w:hAnsi="Verdana" w:cs="Calibri"/>
                <w:bCs/>
                <w:sz w:val="18"/>
                <w:szCs w:val="18"/>
              </w:rPr>
              <w:t>GEWE</w:t>
            </w:r>
            <w:r w:rsidRPr="00F67DEB">
              <w:rPr>
                <w:rFonts w:ascii="Verdana" w:hAnsi="Verdana" w:cs="Calibri"/>
                <w:bCs/>
                <w:sz w:val="18"/>
                <w:szCs w:val="18"/>
              </w:rPr>
              <w:t xml:space="preserve"> CSO participation and engagement in gender related SDGs localization and/or implementation</w:t>
            </w:r>
          </w:p>
        </w:tc>
      </w:tr>
    </w:tbl>
    <w:p w14:paraId="796C7D05" w14:textId="77777777" w:rsidR="002E7CA1" w:rsidRPr="00704B12" w:rsidRDefault="002E7CA1" w:rsidP="005B5B94">
      <w:pPr>
        <w:spacing w:after="0" w:line="240" w:lineRule="auto"/>
        <w:rPr>
          <w:rFonts w:ascii="Verdana" w:hAnsi="Verdana" w:cs="Calibri"/>
          <w:bCs/>
          <w:sz w:val="20"/>
          <w:szCs w:val="20"/>
        </w:rPr>
      </w:pPr>
    </w:p>
    <w:p w14:paraId="520521FA" w14:textId="32C9BAAA" w:rsidR="004E714A" w:rsidRPr="00704B12" w:rsidRDefault="00A370A7" w:rsidP="005B5B94">
      <w:pPr>
        <w:spacing w:after="0" w:line="240" w:lineRule="auto"/>
        <w:jc w:val="both"/>
        <w:rPr>
          <w:rFonts w:ascii="Verdana" w:hAnsi="Verdana" w:cs="Calibri"/>
          <w:b/>
          <w:color w:val="4F81BD" w:themeColor="accent1"/>
          <w:sz w:val="20"/>
          <w:szCs w:val="20"/>
        </w:rPr>
      </w:pPr>
      <w:r w:rsidRPr="00704B12">
        <w:rPr>
          <w:rFonts w:ascii="Verdana" w:hAnsi="Verdana" w:cs="Calibri"/>
          <w:b/>
          <w:color w:val="4F81BD" w:themeColor="accent1"/>
          <w:sz w:val="20"/>
          <w:szCs w:val="20"/>
        </w:rPr>
        <w:t>Steps to s</w:t>
      </w:r>
      <w:r w:rsidR="00083AB5" w:rsidRPr="00704B12">
        <w:rPr>
          <w:rFonts w:ascii="Verdana" w:hAnsi="Verdana" w:cs="Calibri"/>
          <w:b/>
          <w:color w:val="4F81BD" w:themeColor="accent1"/>
          <w:sz w:val="20"/>
          <w:szCs w:val="20"/>
        </w:rPr>
        <w:t>core this indicator</w:t>
      </w:r>
    </w:p>
    <w:p w14:paraId="75EB3002" w14:textId="3F85BAD9" w:rsidR="002E5ABF" w:rsidRPr="00704B12" w:rsidRDefault="00083AB5" w:rsidP="00103CE3">
      <w:pPr>
        <w:pStyle w:val="ListParagraph"/>
        <w:numPr>
          <w:ilvl w:val="0"/>
          <w:numId w:val="19"/>
        </w:numPr>
        <w:spacing w:after="0" w:line="240" w:lineRule="auto"/>
        <w:ind w:left="360"/>
        <w:rPr>
          <w:rFonts w:ascii="Verdana" w:hAnsi="Verdana" w:cs="Calibri"/>
          <w:bCs/>
          <w:sz w:val="20"/>
          <w:szCs w:val="20"/>
        </w:rPr>
      </w:pPr>
      <w:r w:rsidRPr="00704B12">
        <w:rPr>
          <w:rFonts w:ascii="Verdana" w:hAnsi="Verdana" w:cs="Calibri"/>
          <w:bCs/>
          <w:sz w:val="20"/>
          <w:szCs w:val="20"/>
        </w:rPr>
        <w:t xml:space="preserve">Make a list of </w:t>
      </w:r>
      <w:r w:rsidR="002E5ABF" w:rsidRPr="00704B12">
        <w:rPr>
          <w:rFonts w:ascii="Verdana" w:hAnsi="Verdana" w:cs="Calibri"/>
          <w:bCs/>
          <w:sz w:val="20"/>
          <w:szCs w:val="20"/>
        </w:rPr>
        <w:t>consultations</w:t>
      </w:r>
      <w:r w:rsidRPr="00704B12">
        <w:rPr>
          <w:rFonts w:ascii="Verdana" w:hAnsi="Verdana" w:cs="Calibri"/>
          <w:bCs/>
          <w:sz w:val="20"/>
          <w:szCs w:val="20"/>
        </w:rPr>
        <w:t xml:space="preserve"> with </w:t>
      </w:r>
      <w:r w:rsidR="00CB34DA" w:rsidRPr="00704B12">
        <w:rPr>
          <w:rFonts w:ascii="Verdana" w:hAnsi="Verdana" w:cs="Calibri"/>
          <w:bCs/>
          <w:sz w:val="20"/>
          <w:szCs w:val="20"/>
        </w:rPr>
        <w:t>GEWE</w:t>
      </w:r>
      <w:r w:rsidRPr="00704B12">
        <w:rPr>
          <w:rFonts w:ascii="Verdana" w:hAnsi="Verdana" w:cs="Calibri"/>
          <w:bCs/>
          <w:sz w:val="20"/>
          <w:szCs w:val="20"/>
        </w:rPr>
        <w:t xml:space="preserve"> CSO undertaken within the </w:t>
      </w:r>
      <w:r w:rsidR="002E5ABF" w:rsidRPr="00704B12">
        <w:rPr>
          <w:rFonts w:ascii="Verdana" w:hAnsi="Verdana" w:cs="Calibri"/>
          <w:bCs/>
          <w:sz w:val="20"/>
          <w:szCs w:val="20"/>
        </w:rPr>
        <w:t>project</w:t>
      </w:r>
      <w:r w:rsidRPr="00704B12">
        <w:rPr>
          <w:rFonts w:ascii="Verdana" w:hAnsi="Verdana" w:cs="Calibri"/>
          <w:bCs/>
          <w:sz w:val="20"/>
          <w:szCs w:val="20"/>
        </w:rPr>
        <w:t xml:space="preserve"> cycle</w:t>
      </w:r>
      <w:r w:rsidR="002E5ABF" w:rsidRPr="00704B12">
        <w:rPr>
          <w:rFonts w:ascii="Verdana" w:hAnsi="Verdana" w:cs="Calibri"/>
          <w:bCs/>
          <w:sz w:val="20"/>
          <w:szCs w:val="20"/>
        </w:rPr>
        <w:t xml:space="preserve"> and establish link with SDGs Domestication and/or implementation activities. </w:t>
      </w:r>
      <w:r w:rsidRPr="00704B12">
        <w:rPr>
          <w:rFonts w:ascii="Verdana" w:hAnsi="Verdana" w:cs="Calibri"/>
          <w:bCs/>
          <w:sz w:val="20"/>
          <w:szCs w:val="20"/>
        </w:rPr>
        <w:t xml:space="preserve">Gather background data as needed to </w:t>
      </w:r>
      <w:r w:rsidR="00D04D5A" w:rsidRPr="00704B12">
        <w:rPr>
          <w:rFonts w:ascii="Verdana" w:hAnsi="Verdana" w:cs="Calibri"/>
          <w:bCs/>
          <w:sz w:val="20"/>
          <w:szCs w:val="20"/>
        </w:rPr>
        <w:t>verify and</w:t>
      </w:r>
      <w:r w:rsidRPr="00704B12">
        <w:rPr>
          <w:rFonts w:ascii="Verdana" w:hAnsi="Verdana" w:cs="Calibri"/>
          <w:bCs/>
          <w:sz w:val="20"/>
          <w:szCs w:val="20"/>
        </w:rPr>
        <w:t xml:space="preserve"> assess if the identified activities qualify as approaches or meets minimum requirements (criterion a). </w:t>
      </w:r>
    </w:p>
    <w:p w14:paraId="16985AAA" w14:textId="1754442C" w:rsidR="002E5ABF" w:rsidRPr="00704B12" w:rsidRDefault="00083AB5" w:rsidP="00103CE3">
      <w:pPr>
        <w:pStyle w:val="ListParagraph"/>
        <w:numPr>
          <w:ilvl w:val="0"/>
          <w:numId w:val="19"/>
        </w:numPr>
        <w:spacing w:after="0" w:line="240" w:lineRule="auto"/>
        <w:ind w:left="360"/>
        <w:rPr>
          <w:rFonts w:ascii="Verdana" w:hAnsi="Verdana" w:cs="Calibri"/>
          <w:bCs/>
          <w:sz w:val="20"/>
          <w:szCs w:val="20"/>
        </w:rPr>
      </w:pPr>
      <w:r w:rsidRPr="00704B12">
        <w:rPr>
          <w:rFonts w:ascii="Verdana" w:hAnsi="Verdana" w:cs="Calibri"/>
          <w:bCs/>
          <w:sz w:val="20"/>
          <w:szCs w:val="20"/>
        </w:rPr>
        <w:t xml:space="preserve">Review the detailed means of verification to assess the extent to which </w:t>
      </w:r>
      <w:r w:rsidR="00CB34DA" w:rsidRPr="00704B12">
        <w:rPr>
          <w:rFonts w:ascii="Verdana" w:hAnsi="Verdana" w:cs="Calibri"/>
          <w:bCs/>
          <w:sz w:val="20"/>
          <w:szCs w:val="20"/>
        </w:rPr>
        <w:t>GEWE</w:t>
      </w:r>
      <w:r w:rsidRPr="00704B12">
        <w:rPr>
          <w:rFonts w:ascii="Verdana" w:hAnsi="Verdana" w:cs="Calibri"/>
          <w:bCs/>
          <w:sz w:val="20"/>
          <w:szCs w:val="20"/>
        </w:rPr>
        <w:t xml:space="preserve"> CSO was engaged in key </w:t>
      </w:r>
      <w:r w:rsidR="002E5ABF" w:rsidRPr="00704B12">
        <w:rPr>
          <w:rFonts w:ascii="Verdana" w:hAnsi="Verdana" w:cs="Calibri"/>
          <w:bCs/>
          <w:sz w:val="20"/>
          <w:szCs w:val="20"/>
        </w:rPr>
        <w:t>steps</w:t>
      </w:r>
      <w:r w:rsidRPr="00704B12">
        <w:rPr>
          <w:rFonts w:ascii="Verdana" w:hAnsi="Verdana" w:cs="Calibri"/>
          <w:bCs/>
          <w:sz w:val="20"/>
          <w:szCs w:val="20"/>
        </w:rPr>
        <w:t xml:space="preserve"> process (criterion b). Document findings. </w:t>
      </w:r>
    </w:p>
    <w:p w14:paraId="5D61536B" w14:textId="106894DC" w:rsidR="002E5ABF" w:rsidRPr="00704B12" w:rsidRDefault="00083AB5" w:rsidP="00103CE3">
      <w:pPr>
        <w:pStyle w:val="ListParagraph"/>
        <w:numPr>
          <w:ilvl w:val="0"/>
          <w:numId w:val="19"/>
        </w:numPr>
        <w:spacing w:after="0" w:line="240" w:lineRule="auto"/>
        <w:ind w:left="360"/>
        <w:rPr>
          <w:rFonts w:ascii="Verdana" w:hAnsi="Verdana" w:cs="Calibri"/>
          <w:bCs/>
          <w:sz w:val="20"/>
          <w:szCs w:val="20"/>
        </w:rPr>
      </w:pPr>
      <w:r w:rsidRPr="00704B12">
        <w:rPr>
          <w:rFonts w:ascii="Verdana" w:hAnsi="Verdana" w:cs="Calibri"/>
          <w:bCs/>
          <w:sz w:val="20"/>
          <w:szCs w:val="20"/>
        </w:rPr>
        <w:t xml:space="preserve">Review the list created in Step 1 to ascertain the level of involvement of </w:t>
      </w:r>
      <w:r w:rsidR="00CB34DA" w:rsidRPr="00704B12">
        <w:rPr>
          <w:rFonts w:ascii="Verdana" w:hAnsi="Verdana" w:cs="Calibri"/>
          <w:bCs/>
          <w:sz w:val="20"/>
          <w:szCs w:val="20"/>
        </w:rPr>
        <w:t>GEWE</w:t>
      </w:r>
      <w:r w:rsidRPr="00704B12">
        <w:rPr>
          <w:rFonts w:ascii="Verdana" w:hAnsi="Verdana" w:cs="Calibri"/>
          <w:bCs/>
          <w:sz w:val="20"/>
          <w:szCs w:val="20"/>
        </w:rPr>
        <w:t xml:space="preserve"> CSO in gender SDG localization or implementation activities </w:t>
      </w:r>
      <w:r w:rsidR="00616C6E" w:rsidRPr="00704B12">
        <w:rPr>
          <w:rFonts w:ascii="Verdana" w:hAnsi="Verdana" w:cs="Calibri"/>
          <w:bCs/>
          <w:sz w:val="20"/>
          <w:szCs w:val="20"/>
        </w:rPr>
        <w:t xml:space="preserve">and explain the </w:t>
      </w:r>
      <w:r w:rsidR="002E5ABF" w:rsidRPr="00704B12">
        <w:rPr>
          <w:rFonts w:ascii="Verdana" w:hAnsi="Verdana" w:cs="Calibri"/>
          <w:bCs/>
          <w:sz w:val="20"/>
          <w:szCs w:val="20"/>
        </w:rPr>
        <w:t>lin</w:t>
      </w:r>
      <w:r w:rsidR="00616C6E" w:rsidRPr="00704B12">
        <w:rPr>
          <w:rFonts w:ascii="Verdana" w:hAnsi="Verdana" w:cs="Calibri"/>
          <w:bCs/>
          <w:sz w:val="20"/>
          <w:szCs w:val="20"/>
        </w:rPr>
        <w:t>k with the project presented to Joint SDG Fund</w:t>
      </w:r>
      <w:r w:rsidR="002E5ABF" w:rsidRPr="00704B12">
        <w:rPr>
          <w:rFonts w:ascii="Verdana" w:hAnsi="Verdana" w:cs="Calibri"/>
          <w:bCs/>
          <w:sz w:val="20"/>
          <w:szCs w:val="20"/>
        </w:rPr>
        <w:t xml:space="preserve"> </w:t>
      </w:r>
      <w:r w:rsidRPr="00704B12">
        <w:rPr>
          <w:rFonts w:ascii="Verdana" w:hAnsi="Verdana" w:cs="Calibri"/>
          <w:bCs/>
          <w:sz w:val="20"/>
          <w:szCs w:val="20"/>
        </w:rPr>
        <w:t xml:space="preserve">(criterion c). </w:t>
      </w:r>
    </w:p>
    <w:p w14:paraId="304E510F" w14:textId="36B2F665" w:rsidR="00083AB5" w:rsidRPr="00704B12" w:rsidRDefault="00083AB5" w:rsidP="00103CE3">
      <w:pPr>
        <w:pStyle w:val="ListParagraph"/>
        <w:numPr>
          <w:ilvl w:val="0"/>
          <w:numId w:val="19"/>
        </w:numPr>
        <w:spacing w:after="0" w:line="240" w:lineRule="auto"/>
        <w:ind w:left="360"/>
        <w:rPr>
          <w:rFonts w:ascii="Verdana" w:hAnsi="Verdana" w:cs="Calibri"/>
          <w:bCs/>
          <w:sz w:val="20"/>
          <w:szCs w:val="20"/>
        </w:rPr>
      </w:pPr>
      <w:r w:rsidRPr="00704B12">
        <w:rPr>
          <w:rFonts w:ascii="Verdana" w:hAnsi="Verdana" w:cs="Calibri"/>
          <w:bCs/>
          <w:sz w:val="20"/>
          <w:szCs w:val="20"/>
        </w:rPr>
        <w:t>Score the indicator based on findings. Fill in the results template, providing details to support the rating.</w:t>
      </w:r>
    </w:p>
    <w:p w14:paraId="0AA35F8E" w14:textId="0E6BA9E1" w:rsidR="00616C6E" w:rsidRPr="00704B12" w:rsidRDefault="00616C6E" w:rsidP="00103CE3">
      <w:pPr>
        <w:spacing w:after="0" w:line="240" w:lineRule="auto"/>
        <w:rPr>
          <w:rFonts w:ascii="Verdana" w:hAnsi="Verdana" w:cs="Calibri"/>
          <w:bCs/>
          <w:sz w:val="20"/>
          <w:szCs w:val="20"/>
        </w:rPr>
      </w:pPr>
    </w:p>
    <w:p w14:paraId="5360D469" w14:textId="77777777" w:rsidR="00616C6E" w:rsidRPr="00704B12" w:rsidRDefault="00616C6E" w:rsidP="005B5B94">
      <w:pPr>
        <w:spacing w:after="0" w:line="240" w:lineRule="auto"/>
        <w:rPr>
          <w:rFonts w:ascii="Verdana" w:hAnsi="Verdana" w:cs="Calibri"/>
          <w:bCs/>
          <w:sz w:val="20"/>
          <w:szCs w:val="20"/>
        </w:rPr>
      </w:pPr>
    </w:p>
    <w:p w14:paraId="29F542B9" w14:textId="0E30E79B" w:rsidR="002F0547" w:rsidRDefault="002F0547" w:rsidP="005B5B94">
      <w:pPr>
        <w:pStyle w:val="ListParagraph"/>
        <w:numPr>
          <w:ilvl w:val="0"/>
          <w:numId w:val="7"/>
        </w:numPr>
        <w:spacing w:after="0" w:line="240" w:lineRule="auto"/>
        <w:rPr>
          <w:rFonts w:ascii="Verdana" w:hAnsi="Verdana" w:cs="Calibri"/>
          <w:b/>
          <w:color w:val="4F81BD" w:themeColor="accent1"/>
          <w:sz w:val="20"/>
          <w:szCs w:val="20"/>
        </w:rPr>
      </w:pPr>
      <w:r w:rsidRPr="00704B12">
        <w:rPr>
          <w:rFonts w:ascii="Verdana" w:hAnsi="Verdana" w:cs="Calibri"/>
          <w:b/>
          <w:color w:val="4F81BD" w:themeColor="accent1"/>
          <w:sz w:val="20"/>
          <w:szCs w:val="20"/>
        </w:rPr>
        <w:t>R</w:t>
      </w:r>
      <w:r w:rsidR="00103CE3">
        <w:rPr>
          <w:rFonts w:ascii="Verdana" w:hAnsi="Verdana" w:cs="Calibri"/>
          <w:b/>
          <w:color w:val="4F81BD" w:themeColor="accent1"/>
          <w:sz w:val="20"/>
          <w:szCs w:val="20"/>
        </w:rPr>
        <w:t>esources</w:t>
      </w:r>
    </w:p>
    <w:p w14:paraId="5C332090" w14:textId="77777777" w:rsidR="00103CE3" w:rsidRPr="00704B12" w:rsidRDefault="00103CE3" w:rsidP="00103CE3">
      <w:pPr>
        <w:pStyle w:val="ListParagraph"/>
        <w:spacing w:after="0" w:line="240" w:lineRule="auto"/>
        <w:ind w:left="1080"/>
        <w:rPr>
          <w:rFonts w:ascii="Verdana" w:hAnsi="Verdana" w:cs="Calibri"/>
          <w:b/>
          <w:color w:val="4F81BD" w:themeColor="accent1"/>
          <w:sz w:val="20"/>
          <w:szCs w:val="20"/>
        </w:rPr>
      </w:pPr>
    </w:p>
    <w:tbl>
      <w:tblPr>
        <w:tblStyle w:val="TableGrid"/>
        <w:tblW w:w="0" w:type="auto"/>
        <w:tblLook w:val="04A0" w:firstRow="1" w:lastRow="0" w:firstColumn="1" w:lastColumn="0" w:noHBand="0" w:noVBand="1"/>
      </w:tblPr>
      <w:tblGrid>
        <w:gridCol w:w="3001"/>
        <w:gridCol w:w="3009"/>
        <w:gridCol w:w="3006"/>
      </w:tblGrid>
      <w:tr w:rsidR="002F0547" w:rsidRPr="00704B12" w14:paraId="3BB2E787" w14:textId="77777777" w:rsidTr="001479CC">
        <w:tc>
          <w:tcPr>
            <w:tcW w:w="9016" w:type="dxa"/>
            <w:gridSpan w:val="3"/>
            <w:shd w:val="clear" w:color="auto" w:fill="548DD4" w:themeFill="text2" w:themeFillTint="99"/>
          </w:tcPr>
          <w:p w14:paraId="410D70F3" w14:textId="5ECF0C7E" w:rsidR="002F0547" w:rsidRPr="00704B12" w:rsidRDefault="002F0547" w:rsidP="005B5B94">
            <w:pPr>
              <w:jc w:val="center"/>
              <w:rPr>
                <w:rFonts w:ascii="Verdana" w:hAnsi="Verdana" w:cs="Calibri"/>
                <w:b/>
                <w:color w:val="FFFFFF" w:themeColor="background1"/>
                <w:sz w:val="20"/>
                <w:szCs w:val="20"/>
              </w:rPr>
            </w:pPr>
            <w:r w:rsidRPr="00704B12">
              <w:rPr>
                <w:rFonts w:ascii="Verdana" w:hAnsi="Verdana" w:cs="Calibri"/>
                <w:b/>
                <w:color w:val="FFFFFF" w:themeColor="background1"/>
                <w:sz w:val="20"/>
                <w:szCs w:val="20"/>
              </w:rPr>
              <w:t xml:space="preserve">Indicator 3.1. </w:t>
            </w:r>
            <w:r w:rsidR="00F67DEB">
              <w:rPr>
                <w:rFonts w:ascii="Verdana" w:hAnsi="Verdana" w:cs="Calibri"/>
                <w:b/>
                <w:color w:val="FFFFFF" w:themeColor="background1"/>
                <w:sz w:val="20"/>
                <w:szCs w:val="20"/>
              </w:rPr>
              <w:t>P</w:t>
            </w:r>
            <w:r w:rsidR="00D04D5A" w:rsidRPr="00704B12">
              <w:rPr>
                <w:rFonts w:ascii="Verdana" w:hAnsi="Verdana" w:cs="Calibri"/>
                <w:b/>
                <w:color w:val="FFFFFF" w:themeColor="background1"/>
                <w:sz w:val="20"/>
                <w:szCs w:val="20"/>
              </w:rPr>
              <w:t>rogram proposes a gender</w:t>
            </w:r>
            <w:r w:rsidR="00F67DEB">
              <w:rPr>
                <w:rFonts w:ascii="Verdana" w:hAnsi="Verdana" w:cs="Calibri"/>
                <w:b/>
                <w:color w:val="FFFFFF" w:themeColor="background1"/>
                <w:sz w:val="20"/>
                <w:szCs w:val="20"/>
              </w:rPr>
              <w:t>-</w:t>
            </w:r>
            <w:r w:rsidR="00D04D5A" w:rsidRPr="00704B12">
              <w:rPr>
                <w:rFonts w:ascii="Verdana" w:hAnsi="Verdana" w:cs="Calibri"/>
                <w:b/>
                <w:color w:val="FFFFFF" w:themeColor="background1"/>
                <w:sz w:val="20"/>
                <w:szCs w:val="20"/>
              </w:rPr>
              <w:t>responsive budget</w:t>
            </w:r>
          </w:p>
        </w:tc>
      </w:tr>
      <w:tr w:rsidR="002F0547" w:rsidRPr="00704B12" w14:paraId="66D85732" w14:textId="77777777" w:rsidTr="001479CC">
        <w:tc>
          <w:tcPr>
            <w:tcW w:w="3001" w:type="dxa"/>
          </w:tcPr>
          <w:p w14:paraId="59690A4C" w14:textId="77777777" w:rsidR="002F0547" w:rsidRPr="00F67DEB" w:rsidRDefault="002F0547" w:rsidP="005B5B94">
            <w:pPr>
              <w:jc w:val="center"/>
              <w:rPr>
                <w:rFonts w:ascii="Verdana" w:hAnsi="Verdana" w:cs="Calibri"/>
                <w:b/>
                <w:sz w:val="18"/>
                <w:szCs w:val="18"/>
              </w:rPr>
            </w:pPr>
            <w:r w:rsidRPr="00F67DEB">
              <w:rPr>
                <w:rFonts w:ascii="Verdana" w:hAnsi="Verdana" w:cs="Calibri"/>
                <w:b/>
                <w:sz w:val="18"/>
                <w:szCs w:val="18"/>
              </w:rPr>
              <w:t>Approach minimum requirements</w:t>
            </w:r>
          </w:p>
        </w:tc>
        <w:tc>
          <w:tcPr>
            <w:tcW w:w="3009" w:type="dxa"/>
          </w:tcPr>
          <w:p w14:paraId="2DBCE0CC" w14:textId="77777777" w:rsidR="002F0547" w:rsidRPr="00F67DEB" w:rsidRDefault="002F0547" w:rsidP="005B5B94">
            <w:pPr>
              <w:jc w:val="center"/>
              <w:rPr>
                <w:rFonts w:ascii="Verdana" w:hAnsi="Verdana" w:cs="Calibri"/>
                <w:b/>
                <w:sz w:val="18"/>
                <w:szCs w:val="18"/>
              </w:rPr>
            </w:pPr>
            <w:r w:rsidRPr="00F67DEB">
              <w:rPr>
                <w:rFonts w:ascii="Verdana" w:hAnsi="Verdana" w:cs="Calibri"/>
                <w:b/>
                <w:sz w:val="18"/>
                <w:szCs w:val="18"/>
              </w:rPr>
              <w:t>Meets Minimum Requirements</w:t>
            </w:r>
          </w:p>
        </w:tc>
        <w:tc>
          <w:tcPr>
            <w:tcW w:w="3006" w:type="dxa"/>
          </w:tcPr>
          <w:p w14:paraId="4208CE1F" w14:textId="77777777" w:rsidR="002F0547" w:rsidRPr="00F67DEB" w:rsidRDefault="002F0547" w:rsidP="005B5B94">
            <w:pPr>
              <w:jc w:val="center"/>
              <w:rPr>
                <w:rFonts w:ascii="Verdana" w:hAnsi="Verdana" w:cs="Calibri"/>
                <w:b/>
                <w:sz w:val="18"/>
                <w:szCs w:val="18"/>
              </w:rPr>
            </w:pPr>
            <w:r w:rsidRPr="00F67DEB">
              <w:rPr>
                <w:rFonts w:ascii="Verdana" w:hAnsi="Verdana" w:cs="Calibri"/>
                <w:b/>
                <w:sz w:val="18"/>
                <w:szCs w:val="18"/>
              </w:rPr>
              <w:t>Exceed Minimum Requirements</w:t>
            </w:r>
          </w:p>
        </w:tc>
      </w:tr>
      <w:tr w:rsidR="002F0547" w:rsidRPr="00704B12" w14:paraId="7B06CD41" w14:textId="77777777" w:rsidTr="001479CC">
        <w:tc>
          <w:tcPr>
            <w:tcW w:w="3001" w:type="dxa"/>
          </w:tcPr>
          <w:p w14:paraId="14961480" w14:textId="249C4B6A" w:rsidR="002F0547" w:rsidRPr="00F67DEB" w:rsidRDefault="00910C74" w:rsidP="005B5B94">
            <w:pPr>
              <w:rPr>
                <w:rFonts w:ascii="Verdana" w:hAnsi="Verdana" w:cs="Calibri"/>
                <w:bCs/>
                <w:sz w:val="18"/>
                <w:szCs w:val="18"/>
              </w:rPr>
            </w:pPr>
            <w:r>
              <w:rPr>
                <w:rFonts w:ascii="Verdana" w:hAnsi="Verdana" w:cs="Calibri"/>
                <w:bCs/>
                <w:sz w:val="18"/>
                <w:szCs w:val="18"/>
              </w:rPr>
              <w:t>Between 15-30%</w:t>
            </w:r>
            <w:r w:rsidR="008061DB" w:rsidRPr="00F67DEB">
              <w:rPr>
                <w:rFonts w:ascii="Verdana" w:hAnsi="Verdana" w:cs="Calibri"/>
                <w:bCs/>
                <w:sz w:val="18"/>
                <w:szCs w:val="18"/>
              </w:rPr>
              <w:t xml:space="preserve"> of the Project budget is allocated to gender equality.</w:t>
            </w:r>
          </w:p>
        </w:tc>
        <w:tc>
          <w:tcPr>
            <w:tcW w:w="3009" w:type="dxa"/>
          </w:tcPr>
          <w:p w14:paraId="5C9D253A" w14:textId="4BD0225D" w:rsidR="002F0547" w:rsidRPr="00F67DEB" w:rsidRDefault="001479CC" w:rsidP="005B5B94">
            <w:pPr>
              <w:rPr>
                <w:rFonts w:ascii="Verdana" w:hAnsi="Verdana" w:cs="Calibri"/>
                <w:bCs/>
                <w:sz w:val="18"/>
                <w:szCs w:val="18"/>
              </w:rPr>
            </w:pPr>
            <w:r w:rsidRPr="00F67DEB">
              <w:rPr>
                <w:rFonts w:ascii="Verdana" w:hAnsi="Verdana" w:cs="Calibri"/>
                <w:bCs/>
                <w:sz w:val="18"/>
                <w:szCs w:val="18"/>
              </w:rPr>
              <w:t>At least 30% of the total budget is allocated to gender equality or women’s empowerment</w:t>
            </w:r>
            <w:r w:rsidR="008061DB" w:rsidRPr="00F67DEB">
              <w:rPr>
                <w:rFonts w:ascii="Verdana" w:hAnsi="Verdana" w:cs="Calibri"/>
                <w:bCs/>
                <w:sz w:val="18"/>
                <w:szCs w:val="18"/>
              </w:rPr>
              <w:t>.</w:t>
            </w:r>
          </w:p>
        </w:tc>
        <w:tc>
          <w:tcPr>
            <w:tcW w:w="3006" w:type="dxa"/>
          </w:tcPr>
          <w:p w14:paraId="202C639A" w14:textId="3CB18020" w:rsidR="001479CC" w:rsidRPr="00F67DEB" w:rsidRDefault="001479CC" w:rsidP="005B5B94">
            <w:pPr>
              <w:rPr>
                <w:rFonts w:ascii="Verdana" w:hAnsi="Verdana" w:cs="Calibri"/>
                <w:bCs/>
                <w:sz w:val="18"/>
                <w:szCs w:val="18"/>
              </w:rPr>
            </w:pPr>
            <w:r w:rsidRPr="00F67DEB">
              <w:rPr>
                <w:rFonts w:ascii="Verdana" w:hAnsi="Verdana" w:cs="Calibri"/>
                <w:bCs/>
                <w:sz w:val="18"/>
                <w:szCs w:val="18"/>
              </w:rPr>
              <w:t>80 to 100 % of the programmable budget goes toward Gender equality</w:t>
            </w:r>
          </w:p>
          <w:p w14:paraId="13A9FACA" w14:textId="0AC32414" w:rsidR="002F0547" w:rsidRPr="00F67DEB" w:rsidRDefault="002F0547" w:rsidP="005B5B94">
            <w:pPr>
              <w:rPr>
                <w:rFonts w:ascii="Verdana" w:hAnsi="Verdana" w:cs="Calibri"/>
                <w:bCs/>
                <w:sz w:val="18"/>
                <w:szCs w:val="18"/>
              </w:rPr>
            </w:pPr>
          </w:p>
        </w:tc>
      </w:tr>
    </w:tbl>
    <w:p w14:paraId="152142B3" w14:textId="495CBA0A" w:rsidR="002F0547" w:rsidRPr="00704B12" w:rsidRDefault="002F0547" w:rsidP="005B5B94">
      <w:pPr>
        <w:spacing w:after="0" w:line="240" w:lineRule="auto"/>
        <w:rPr>
          <w:rFonts w:ascii="Verdana" w:hAnsi="Verdana" w:cs="Calibri"/>
          <w:bCs/>
          <w:sz w:val="20"/>
          <w:szCs w:val="20"/>
        </w:rPr>
      </w:pPr>
    </w:p>
    <w:p w14:paraId="43B43932" w14:textId="77777777" w:rsidR="007B30E0" w:rsidRPr="00704B12" w:rsidRDefault="007B30E0" w:rsidP="005B5B94">
      <w:pPr>
        <w:spacing w:after="0" w:line="240" w:lineRule="auto"/>
        <w:jc w:val="both"/>
        <w:rPr>
          <w:rFonts w:ascii="Verdana" w:hAnsi="Verdana" w:cs="Calibri"/>
          <w:b/>
          <w:color w:val="4F81BD" w:themeColor="accent1"/>
          <w:sz w:val="20"/>
          <w:szCs w:val="20"/>
        </w:rPr>
      </w:pPr>
      <w:r w:rsidRPr="00704B12">
        <w:rPr>
          <w:rFonts w:ascii="Verdana" w:hAnsi="Verdana" w:cs="Calibri"/>
          <w:b/>
          <w:color w:val="4F81BD" w:themeColor="accent1"/>
          <w:sz w:val="20"/>
          <w:szCs w:val="20"/>
        </w:rPr>
        <w:t>Steps to score this indicator</w:t>
      </w:r>
    </w:p>
    <w:p w14:paraId="368954D8" w14:textId="056558A7" w:rsidR="007B30E0" w:rsidRPr="00704B12" w:rsidRDefault="007B30E0" w:rsidP="005B5B94">
      <w:pPr>
        <w:pStyle w:val="ListParagraph"/>
        <w:numPr>
          <w:ilvl w:val="0"/>
          <w:numId w:val="20"/>
        </w:numPr>
        <w:spacing w:after="0" w:line="240" w:lineRule="auto"/>
        <w:rPr>
          <w:rFonts w:ascii="Verdana" w:hAnsi="Verdana" w:cs="Calibri"/>
          <w:bCs/>
          <w:sz w:val="20"/>
          <w:szCs w:val="20"/>
        </w:rPr>
      </w:pPr>
      <w:r w:rsidRPr="00704B12">
        <w:rPr>
          <w:rFonts w:ascii="Verdana" w:hAnsi="Verdana" w:cs="Calibri"/>
          <w:bCs/>
          <w:sz w:val="20"/>
          <w:szCs w:val="20"/>
        </w:rPr>
        <w:lastRenderedPageBreak/>
        <w:t xml:space="preserve">Identify in the budget table, which amount if fully dedicated to Gender Equality and Women’s empowerment purpose. If it is only contributed to that extend, please indicate the exact amount within the budget line. </w:t>
      </w:r>
    </w:p>
    <w:p w14:paraId="417F75F2" w14:textId="40EC2BA6" w:rsidR="007B30E0" w:rsidRPr="00704B12" w:rsidRDefault="007B30E0" w:rsidP="005B5B94">
      <w:pPr>
        <w:pStyle w:val="ListParagraph"/>
        <w:numPr>
          <w:ilvl w:val="0"/>
          <w:numId w:val="20"/>
        </w:numPr>
        <w:spacing w:after="0" w:line="240" w:lineRule="auto"/>
        <w:rPr>
          <w:rFonts w:ascii="Verdana" w:hAnsi="Verdana" w:cs="Calibri"/>
          <w:bCs/>
          <w:sz w:val="20"/>
          <w:szCs w:val="20"/>
        </w:rPr>
      </w:pPr>
      <w:r w:rsidRPr="00704B12">
        <w:rPr>
          <w:rFonts w:ascii="Verdana" w:hAnsi="Verdana" w:cs="Calibri"/>
          <w:bCs/>
          <w:sz w:val="20"/>
          <w:szCs w:val="20"/>
        </w:rPr>
        <w:t>Calculate the total amount dedicated to GEWE and the rate toward the total budget</w:t>
      </w:r>
    </w:p>
    <w:p w14:paraId="787655CE" w14:textId="77777777" w:rsidR="007B30E0" w:rsidRPr="00704B12" w:rsidRDefault="007B30E0" w:rsidP="005B5B94">
      <w:pPr>
        <w:pStyle w:val="ListParagraph"/>
        <w:numPr>
          <w:ilvl w:val="0"/>
          <w:numId w:val="20"/>
        </w:numPr>
        <w:spacing w:after="0" w:line="240" w:lineRule="auto"/>
        <w:rPr>
          <w:rFonts w:ascii="Verdana" w:hAnsi="Verdana" w:cs="Calibri"/>
          <w:bCs/>
          <w:sz w:val="20"/>
          <w:szCs w:val="20"/>
        </w:rPr>
      </w:pPr>
      <w:r w:rsidRPr="00704B12">
        <w:rPr>
          <w:rFonts w:ascii="Verdana" w:hAnsi="Verdana" w:cs="Calibri"/>
          <w:bCs/>
          <w:sz w:val="20"/>
          <w:szCs w:val="20"/>
        </w:rPr>
        <w:t>Score the indicator based on findings. Fill in the results template, providing details to support the rating.</w:t>
      </w:r>
    </w:p>
    <w:p w14:paraId="6EC6B219" w14:textId="77777777" w:rsidR="007B30E0" w:rsidRPr="00704B12" w:rsidRDefault="007B30E0" w:rsidP="005B5B94">
      <w:pPr>
        <w:spacing w:after="0" w:line="240" w:lineRule="auto"/>
        <w:rPr>
          <w:rFonts w:ascii="Verdana" w:hAnsi="Verdana" w:cs="Calibri"/>
          <w:bCs/>
          <w:sz w:val="20"/>
          <w:szCs w:val="20"/>
        </w:rPr>
      </w:pPr>
    </w:p>
    <w:p w14:paraId="3F534477" w14:textId="77777777" w:rsidR="007B30E0" w:rsidRPr="00704B12" w:rsidRDefault="007B30E0" w:rsidP="005B5B94">
      <w:pPr>
        <w:spacing w:after="0" w:line="240" w:lineRule="auto"/>
        <w:rPr>
          <w:rFonts w:ascii="Verdana" w:hAnsi="Verdana" w:cs="Calibri"/>
          <w:bCs/>
          <w:sz w:val="20"/>
          <w:szCs w:val="20"/>
        </w:rPr>
      </w:pPr>
    </w:p>
    <w:p w14:paraId="3A2B91E1" w14:textId="34883B6F" w:rsidR="00A370A7" w:rsidRPr="00704B12" w:rsidRDefault="00A370A7" w:rsidP="005B5B94">
      <w:pPr>
        <w:spacing w:after="0" w:line="240" w:lineRule="auto"/>
        <w:rPr>
          <w:rFonts w:ascii="Verdana" w:hAnsi="Verdana" w:cs="Calibri"/>
          <w:bCs/>
          <w:sz w:val="20"/>
          <w:szCs w:val="20"/>
        </w:rPr>
      </w:pPr>
    </w:p>
    <w:p w14:paraId="695CD881" w14:textId="77777777" w:rsidR="00A370A7" w:rsidRPr="00704B12" w:rsidRDefault="00A370A7" w:rsidP="005B5B94">
      <w:pPr>
        <w:spacing w:after="0" w:line="240" w:lineRule="auto"/>
        <w:rPr>
          <w:rFonts w:ascii="Verdana" w:hAnsi="Verdana" w:cs="Calibri"/>
          <w:bCs/>
          <w:sz w:val="20"/>
          <w:szCs w:val="20"/>
        </w:rPr>
      </w:pPr>
    </w:p>
    <w:p w14:paraId="380882D4" w14:textId="77777777" w:rsidR="004E714A" w:rsidRPr="00704B12" w:rsidRDefault="004E714A" w:rsidP="005B5B94">
      <w:pPr>
        <w:spacing w:after="0" w:line="240" w:lineRule="auto"/>
        <w:rPr>
          <w:rFonts w:ascii="Verdana" w:hAnsi="Verdana" w:cs="Calibri"/>
          <w:b/>
          <w:color w:val="4F81BD" w:themeColor="accent1"/>
          <w:sz w:val="20"/>
          <w:szCs w:val="20"/>
        </w:rPr>
        <w:sectPr w:rsidR="004E714A" w:rsidRPr="00704B12" w:rsidSect="00103CE3">
          <w:type w:val="continuous"/>
          <w:pgSz w:w="11906" w:h="16838"/>
          <w:pgMar w:top="1440" w:right="1440" w:bottom="1440" w:left="1440" w:header="720" w:footer="720" w:gutter="0"/>
          <w:cols w:space="720"/>
          <w:docGrid w:linePitch="360"/>
        </w:sectPr>
      </w:pPr>
    </w:p>
    <w:p w14:paraId="398FC287" w14:textId="77777777" w:rsidR="004E714A" w:rsidRPr="00103CE3" w:rsidRDefault="004E714A" w:rsidP="005B5B94">
      <w:pPr>
        <w:spacing w:after="0" w:line="240" w:lineRule="auto"/>
        <w:rPr>
          <w:rFonts w:ascii="Verdana" w:hAnsi="Verdana" w:cs="Calibri"/>
          <w:b/>
          <w:color w:val="4F81BD" w:themeColor="accent1"/>
          <w:sz w:val="24"/>
          <w:szCs w:val="24"/>
        </w:rPr>
      </w:pPr>
      <w:r w:rsidRPr="00103CE3">
        <w:rPr>
          <w:rFonts w:ascii="Verdana" w:hAnsi="Verdana" w:cs="Calibri"/>
          <w:b/>
          <w:color w:val="4F81BD" w:themeColor="accent1"/>
          <w:sz w:val="24"/>
          <w:szCs w:val="24"/>
        </w:rPr>
        <w:t>Joint SDGs Fund Gender Marker reporting template</w:t>
      </w:r>
    </w:p>
    <w:p w14:paraId="3249407C" w14:textId="77777777" w:rsidR="00103CE3" w:rsidRDefault="00103CE3" w:rsidP="005B5B94">
      <w:pPr>
        <w:spacing w:after="0" w:line="240" w:lineRule="auto"/>
        <w:rPr>
          <w:rFonts w:ascii="Verdana" w:hAnsi="Verdana" w:cs="Calibri"/>
          <w:bCs/>
          <w:sz w:val="20"/>
          <w:szCs w:val="20"/>
        </w:rPr>
      </w:pPr>
    </w:p>
    <w:p w14:paraId="5B2681C5" w14:textId="2705AA67" w:rsidR="004E714A" w:rsidRPr="00704B12" w:rsidRDefault="004E714A" w:rsidP="005B5B94">
      <w:pPr>
        <w:spacing w:after="0" w:line="240" w:lineRule="auto"/>
        <w:rPr>
          <w:rFonts w:ascii="Verdana" w:hAnsi="Verdana" w:cs="Calibri"/>
          <w:bCs/>
          <w:sz w:val="20"/>
          <w:szCs w:val="20"/>
        </w:rPr>
      </w:pPr>
      <w:r w:rsidRPr="00704B12">
        <w:rPr>
          <w:rFonts w:ascii="Verdana" w:hAnsi="Verdana" w:cs="Calibri"/>
          <w:bCs/>
          <w:sz w:val="20"/>
          <w:szCs w:val="20"/>
        </w:rPr>
        <w:t xml:space="preserve">The table below should be filled and included in </w:t>
      </w:r>
      <w:r w:rsidR="00103CE3">
        <w:rPr>
          <w:rFonts w:ascii="Verdana" w:hAnsi="Verdana" w:cs="Calibri"/>
          <w:bCs/>
          <w:sz w:val="20"/>
          <w:szCs w:val="20"/>
        </w:rPr>
        <w:t xml:space="preserve">annex of </w:t>
      </w:r>
      <w:r w:rsidRPr="00704B12">
        <w:rPr>
          <w:rFonts w:ascii="Verdana" w:hAnsi="Verdana" w:cs="Calibri"/>
          <w:bCs/>
          <w:sz w:val="20"/>
          <w:szCs w:val="20"/>
        </w:rPr>
        <w:t xml:space="preserve">the </w:t>
      </w:r>
      <w:r w:rsidR="00103CE3">
        <w:rPr>
          <w:rFonts w:ascii="Verdana" w:hAnsi="Verdana" w:cs="Calibri"/>
          <w:bCs/>
          <w:sz w:val="20"/>
          <w:szCs w:val="20"/>
        </w:rPr>
        <w:t>joint programme</w:t>
      </w:r>
      <w:r w:rsidRPr="00704B12">
        <w:rPr>
          <w:rFonts w:ascii="Verdana" w:hAnsi="Verdana" w:cs="Calibri"/>
          <w:bCs/>
          <w:sz w:val="20"/>
          <w:szCs w:val="20"/>
        </w:rPr>
        <w:t xml:space="preserve"> </w:t>
      </w:r>
      <w:r w:rsidR="00103CE3">
        <w:rPr>
          <w:rFonts w:ascii="Verdana" w:hAnsi="Verdana" w:cs="Calibri"/>
          <w:bCs/>
          <w:sz w:val="20"/>
          <w:szCs w:val="20"/>
        </w:rPr>
        <w:t>document.</w:t>
      </w:r>
    </w:p>
    <w:p w14:paraId="6F4D3C67" w14:textId="3513B053" w:rsidR="004E714A" w:rsidRDefault="004E714A" w:rsidP="005B5B94">
      <w:pPr>
        <w:spacing w:after="0" w:line="240" w:lineRule="auto"/>
        <w:rPr>
          <w:rFonts w:ascii="Verdana" w:hAnsi="Verdana" w:cs="Calibri"/>
          <w:b/>
          <w:color w:val="4F81BD" w:themeColor="accent1"/>
          <w:sz w:val="20"/>
          <w:szCs w:val="20"/>
        </w:rPr>
      </w:pPr>
    </w:p>
    <w:tbl>
      <w:tblPr>
        <w:tblStyle w:val="TableGrid"/>
        <w:tblW w:w="0" w:type="auto"/>
        <w:jc w:val="center"/>
        <w:tblLook w:val="04A0" w:firstRow="1" w:lastRow="0" w:firstColumn="1" w:lastColumn="0" w:noHBand="0" w:noVBand="1"/>
      </w:tblPr>
      <w:tblGrid>
        <w:gridCol w:w="511"/>
        <w:gridCol w:w="2408"/>
        <w:gridCol w:w="796"/>
        <w:gridCol w:w="3210"/>
        <w:gridCol w:w="2091"/>
      </w:tblGrid>
      <w:tr w:rsidR="00BD1C62" w:rsidRPr="00245E1A" w14:paraId="18301CCF" w14:textId="77777777" w:rsidTr="00567FBB">
        <w:trPr>
          <w:jc w:val="center"/>
        </w:trPr>
        <w:tc>
          <w:tcPr>
            <w:tcW w:w="3685" w:type="dxa"/>
            <w:gridSpan w:val="2"/>
            <w:shd w:val="clear" w:color="auto" w:fill="B6DDE8" w:themeFill="accent5" w:themeFillTint="66"/>
            <w:vAlign w:val="center"/>
          </w:tcPr>
          <w:p w14:paraId="2707FBBD" w14:textId="77777777" w:rsidR="00BD1C62" w:rsidRPr="00654BC5" w:rsidRDefault="00BD1C62" w:rsidP="00567FBB">
            <w:pPr>
              <w:rPr>
                <w:rFonts w:ascii="Verdana" w:hAnsi="Verdana" w:cs="Calibri"/>
                <w:b/>
                <w:color w:val="000000" w:themeColor="text1"/>
                <w:sz w:val="18"/>
                <w:szCs w:val="18"/>
              </w:rPr>
            </w:pPr>
            <w:r w:rsidRPr="00654BC5">
              <w:rPr>
                <w:rFonts w:ascii="Verdana" w:hAnsi="Verdana" w:cs="Calibri"/>
                <w:b/>
                <w:color w:val="000000" w:themeColor="text1"/>
                <w:sz w:val="18"/>
                <w:szCs w:val="18"/>
              </w:rPr>
              <w:t>Indicator</w:t>
            </w:r>
          </w:p>
        </w:tc>
        <w:tc>
          <w:tcPr>
            <w:tcW w:w="810" w:type="dxa"/>
            <w:vMerge w:val="restart"/>
            <w:shd w:val="clear" w:color="auto" w:fill="B6DDE8" w:themeFill="accent5" w:themeFillTint="66"/>
            <w:vAlign w:val="center"/>
          </w:tcPr>
          <w:p w14:paraId="785146BE" w14:textId="77777777" w:rsidR="00BD1C62" w:rsidRPr="00654BC5" w:rsidRDefault="00BD1C62" w:rsidP="00567FBB">
            <w:pPr>
              <w:rPr>
                <w:rFonts w:ascii="Verdana" w:hAnsi="Verdana" w:cs="Calibri"/>
                <w:b/>
                <w:color w:val="000000" w:themeColor="text1"/>
                <w:sz w:val="18"/>
                <w:szCs w:val="18"/>
              </w:rPr>
            </w:pPr>
            <w:r w:rsidRPr="00654BC5">
              <w:rPr>
                <w:rFonts w:ascii="Verdana" w:hAnsi="Verdana" w:cs="Calibri"/>
                <w:b/>
                <w:color w:val="000000" w:themeColor="text1"/>
                <w:sz w:val="18"/>
                <w:szCs w:val="18"/>
              </w:rPr>
              <w:t>Score</w:t>
            </w:r>
          </w:p>
        </w:tc>
        <w:tc>
          <w:tcPr>
            <w:tcW w:w="5220" w:type="dxa"/>
            <w:vMerge w:val="restart"/>
            <w:shd w:val="clear" w:color="auto" w:fill="B6DDE8" w:themeFill="accent5" w:themeFillTint="66"/>
            <w:vAlign w:val="center"/>
          </w:tcPr>
          <w:p w14:paraId="6113D2FE" w14:textId="77777777" w:rsidR="00BD1C62" w:rsidRPr="00654BC5" w:rsidRDefault="00BD1C62" w:rsidP="00567FBB">
            <w:pPr>
              <w:rPr>
                <w:rFonts w:ascii="Verdana" w:hAnsi="Verdana" w:cs="Calibri"/>
                <w:b/>
                <w:color w:val="000000" w:themeColor="text1"/>
                <w:sz w:val="18"/>
                <w:szCs w:val="18"/>
              </w:rPr>
            </w:pPr>
            <w:r w:rsidRPr="00654BC5">
              <w:rPr>
                <w:rFonts w:ascii="Verdana" w:hAnsi="Verdana" w:cs="Calibri"/>
                <w:b/>
                <w:color w:val="000000" w:themeColor="text1"/>
                <w:sz w:val="18"/>
                <w:szCs w:val="18"/>
              </w:rPr>
              <w:t>Findings and Explanation</w:t>
            </w:r>
          </w:p>
        </w:tc>
        <w:tc>
          <w:tcPr>
            <w:tcW w:w="2880" w:type="dxa"/>
            <w:vMerge w:val="restart"/>
            <w:shd w:val="clear" w:color="auto" w:fill="B6DDE8" w:themeFill="accent5" w:themeFillTint="66"/>
            <w:vAlign w:val="center"/>
          </w:tcPr>
          <w:p w14:paraId="509250BC" w14:textId="77777777" w:rsidR="00BD1C62" w:rsidRPr="00654BC5" w:rsidRDefault="00BD1C62" w:rsidP="00567FBB">
            <w:pPr>
              <w:rPr>
                <w:rFonts w:ascii="Verdana" w:hAnsi="Verdana" w:cs="Calibri"/>
                <w:b/>
                <w:color w:val="000000" w:themeColor="text1"/>
                <w:sz w:val="18"/>
                <w:szCs w:val="18"/>
              </w:rPr>
            </w:pPr>
            <w:r w:rsidRPr="00654BC5">
              <w:rPr>
                <w:rFonts w:ascii="Verdana" w:hAnsi="Verdana" w:cs="Calibri"/>
                <w:b/>
                <w:color w:val="000000" w:themeColor="text1"/>
                <w:sz w:val="18"/>
                <w:szCs w:val="18"/>
              </w:rPr>
              <w:t>Evidence or Means of Verification</w:t>
            </w:r>
          </w:p>
        </w:tc>
      </w:tr>
      <w:tr w:rsidR="00BD1C62" w:rsidRPr="00245E1A" w14:paraId="48E76F69" w14:textId="77777777" w:rsidTr="00567FBB">
        <w:trPr>
          <w:jc w:val="center"/>
        </w:trPr>
        <w:tc>
          <w:tcPr>
            <w:tcW w:w="511" w:type="dxa"/>
            <w:shd w:val="clear" w:color="auto" w:fill="8DB3E2" w:themeFill="text2" w:themeFillTint="66"/>
            <w:vAlign w:val="center"/>
          </w:tcPr>
          <w:p w14:paraId="08CDE2E1" w14:textId="77777777" w:rsidR="00BD1C62" w:rsidRPr="00245E1A" w:rsidRDefault="00BD1C62" w:rsidP="00567FBB">
            <w:pPr>
              <w:rPr>
                <w:rFonts w:ascii="Verdana" w:hAnsi="Verdana" w:cs="Calibri"/>
                <w:bCs/>
                <w:i/>
                <w:iCs/>
                <w:sz w:val="18"/>
                <w:szCs w:val="18"/>
              </w:rPr>
            </w:pPr>
            <w:r w:rsidRPr="00245E1A">
              <w:rPr>
                <w:rFonts w:ascii="Verdana" w:hAnsi="Verdana" w:cs="Calibri"/>
                <w:bCs/>
                <w:i/>
                <w:iCs/>
                <w:sz w:val="18"/>
                <w:szCs w:val="18"/>
              </w:rPr>
              <w:t>N°</w:t>
            </w:r>
          </w:p>
        </w:tc>
        <w:tc>
          <w:tcPr>
            <w:tcW w:w="3174" w:type="dxa"/>
            <w:shd w:val="clear" w:color="auto" w:fill="8DB3E2" w:themeFill="text2" w:themeFillTint="66"/>
            <w:vAlign w:val="center"/>
          </w:tcPr>
          <w:p w14:paraId="5D85959F" w14:textId="77777777" w:rsidR="00BD1C62" w:rsidRPr="00245E1A" w:rsidRDefault="00BD1C62" w:rsidP="00567FBB">
            <w:pPr>
              <w:rPr>
                <w:rFonts w:ascii="Verdana" w:hAnsi="Verdana" w:cs="Calibri"/>
                <w:bCs/>
                <w:i/>
                <w:iCs/>
                <w:sz w:val="18"/>
                <w:szCs w:val="18"/>
              </w:rPr>
            </w:pPr>
            <w:r w:rsidRPr="00245E1A">
              <w:rPr>
                <w:rFonts w:ascii="Verdana" w:hAnsi="Verdana" w:cs="Calibri"/>
                <w:bCs/>
                <w:i/>
                <w:iCs/>
                <w:sz w:val="18"/>
                <w:szCs w:val="18"/>
              </w:rPr>
              <w:t>Formulation</w:t>
            </w:r>
          </w:p>
        </w:tc>
        <w:tc>
          <w:tcPr>
            <w:tcW w:w="810" w:type="dxa"/>
            <w:vMerge/>
            <w:vAlign w:val="center"/>
          </w:tcPr>
          <w:p w14:paraId="68C9E454" w14:textId="77777777" w:rsidR="00BD1C62" w:rsidRPr="00245E1A" w:rsidRDefault="00BD1C62" w:rsidP="00567FBB">
            <w:pPr>
              <w:rPr>
                <w:rFonts w:ascii="Verdana" w:hAnsi="Verdana" w:cs="Calibri"/>
                <w:bCs/>
                <w:sz w:val="18"/>
                <w:szCs w:val="18"/>
              </w:rPr>
            </w:pPr>
          </w:p>
        </w:tc>
        <w:tc>
          <w:tcPr>
            <w:tcW w:w="5220" w:type="dxa"/>
            <w:vMerge/>
            <w:vAlign w:val="center"/>
          </w:tcPr>
          <w:p w14:paraId="2449561D" w14:textId="77777777" w:rsidR="00BD1C62" w:rsidRPr="00245E1A" w:rsidRDefault="00BD1C62" w:rsidP="00567FBB">
            <w:pPr>
              <w:rPr>
                <w:rFonts w:ascii="Verdana" w:hAnsi="Verdana" w:cs="Calibri"/>
                <w:bCs/>
                <w:sz w:val="18"/>
                <w:szCs w:val="18"/>
              </w:rPr>
            </w:pPr>
          </w:p>
        </w:tc>
        <w:tc>
          <w:tcPr>
            <w:tcW w:w="2880" w:type="dxa"/>
            <w:vMerge/>
            <w:vAlign w:val="center"/>
          </w:tcPr>
          <w:p w14:paraId="2C796A15" w14:textId="77777777" w:rsidR="00BD1C62" w:rsidRPr="00245E1A" w:rsidRDefault="00BD1C62" w:rsidP="00567FBB">
            <w:pPr>
              <w:rPr>
                <w:rFonts w:ascii="Verdana" w:hAnsi="Verdana" w:cs="Calibri"/>
                <w:bCs/>
                <w:sz w:val="18"/>
                <w:szCs w:val="18"/>
              </w:rPr>
            </w:pPr>
          </w:p>
        </w:tc>
      </w:tr>
      <w:tr w:rsidR="00BD1C62" w:rsidRPr="00245E1A" w14:paraId="686F47BD" w14:textId="77777777" w:rsidTr="00567FBB">
        <w:trPr>
          <w:trHeight w:val="152"/>
          <w:jc w:val="center"/>
        </w:trPr>
        <w:tc>
          <w:tcPr>
            <w:tcW w:w="511" w:type="dxa"/>
            <w:vAlign w:val="center"/>
          </w:tcPr>
          <w:p w14:paraId="71A9E96E" w14:textId="77777777" w:rsidR="00BD1C62" w:rsidRPr="00245E1A" w:rsidRDefault="00BD1C62" w:rsidP="00567FBB">
            <w:pPr>
              <w:jc w:val="center"/>
              <w:rPr>
                <w:rFonts w:ascii="Verdana" w:hAnsi="Verdana" w:cs="Calibri"/>
                <w:bCs/>
                <w:sz w:val="18"/>
                <w:szCs w:val="18"/>
              </w:rPr>
            </w:pPr>
            <w:r>
              <w:rPr>
                <w:rFonts w:ascii="Verdana" w:hAnsi="Verdana" w:cs="Calibri"/>
                <w:bCs/>
                <w:sz w:val="18"/>
                <w:szCs w:val="18"/>
              </w:rPr>
              <w:t>1.1</w:t>
            </w:r>
          </w:p>
        </w:tc>
        <w:tc>
          <w:tcPr>
            <w:tcW w:w="3174" w:type="dxa"/>
            <w:vAlign w:val="center"/>
          </w:tcPr>
          <w:p w14:paraId="1E6D1C72" w14:textId="77777777" w:rsidR="00BD1C62" w:rsidRPr="008A473D" w:rsidRDefault="00BD1C62" w:rsidP="00567FBB">
            <w:pPr>
              <w:rPr>
                <w:rFonts w:ascii="Verdana" w:hAnsi="Verdana" w:cs="Calibri"/>
                <w:bCs/>
                <w:color w:val="000000" w:themeColor="text1"/>
                <w:sz w:val="18"/>
                <w:szCs w:val="18"/>
                <w:highlight w:val="yellow"/>
              </w:rPr>
            </w:pPr>
            <w:r w:rsidRPr="008A473D">
              <w:rPr>
                <w:rFonts w:ascii="Verdana" w:hAnsi="Verdana" w:cs="Calibri"/>
                <w:bCs/>
                <w:color w:val="000000" w:themeColor="text1"/>
                <w:sz w:val="18"/>
                <w:szCs w:val="18"/>
              </w:rPr>
              <w:t>Context analysis integrate gender analysis</w:t>
            </w:r>
          </w:p>
        </w:tc>
        <w:tc>
          <w:tcPr>
            <w:tcW w:w="810" w:type="dxa"/>
            <w:vAlign w:val="center"/>
          </w:tcPr>
          <w:p w14:paraId="5AE90213" w14:textId="77777777" w:rsidR="00BD1C62" w:rsidRPr="00720482" w:rsidRDefault="00BD1C62" w:rsidP="00567FBB">
            <w:pPr>
              <w:jc w:val="center"/>
              <w:rPr>
                <w:rFonts w:ascii="Verdana" w:hAnsi="Verdana" w:cs="Calibri"/>
                <w:b/>
                <w:sz w:val="18"/>
                <w:szCs w:val="18"/>
              </w:rPr>
            </w:pPr>
          </w:p>
        </w:tc>
        <w:tc>
          <w:tcPr>
            <w:tcW w:w="5220" w:type="dxa"/>
            <w:vAlign w:val="center"/>
          </w:tcPr>
          <w:p w14:paraId="380189BD" w14:textId="77777777" w:rsidR="00BD1C62" w:rsidRPr="00245E1A" w:rsidRDefault="00BD1C62" w:rsidP="00567FBB">
            <w:pPr>
              <w:rPr>
                <w:rFonts w:ascii="Verdana" w:hAnsi="Verdana" w:cs="Calibri"/>
                <w:bCs/>
                <w:sz w:val="18"/>
                <w:szCs w:val="18"/>
              </w:rPr>
            </w:pPr>
          </w:p>
        </w:tc>
        <w:tc>
          <w:tcPr>
            <w:tcW w:w="2880" w:type="dxa"/>
            <w:vAlign w:val="center"/>
          </w:tcPr>
          <w:p w14:paraId="2E0DF4A6" w14:textId="77777777" w:rsidR="00BD1C62" w:rsidRPr="00245E1A" w:rsidRDefault="00BD1C62" w:rsidP="00567FBB">
            <w:pPr>
              <w:rPr>
                <w:rFonts w:ascii="Verdana" w:hAnsi="Verdana" w:cs="Calibri"/>
                <w:bCs/>
                <w:sz w:val="18"/>
                <w:szCs w:val="18"/>
              </w:rPr>
            </w:pPr>
          </w:p>
        </w:tc>
      </w:tr>
      <w:tr w:rsidR="00BD1C62" w:rsidRPr="00245E1A" w14:paraId="7F2DDBAC" w14:textId="77777777" w:rsidTr="00567FBB">
        <w:trPr>
          <w:jc w:val="center"/>
        </w:trPr>
        <w:tc>
          <w:tcPr>
            <w:tcW w:w="511" w:type="dxa"/>
            <w:vAlign w:val="center"/>
          </w:tcPr>
          <w:p w14:paraId="102009C9" w14:textId="77777777" w:rsidR="00BD1C62" w:rsidRPr="00245E1A" w:rsidRDefault="00BD1C62" w:rsidP="00567FBB">
            <w:pPr>
              <w:jc w:val="center"/>
              <w:rPr>
                <w:rFonts w:ascii="Verdana" w:hAnsi="Verdana" w:cs="Calibri"/>
                <w:bCs/>
                <w:sz w:val="18"/>
                <w:szCs w:val="18"/>
              </w:rPr>
            </w:pPr>
            <w:r>
              <w:rPr>
                <w:rFonts w:ascii="Verdana" w:hAnsi="Verdana" w:cs="Calibri"/>
                <w:bCs/>
                <w:sz w:val="18"/>
                <w:szCs w:val="18"/>
              </w:rPr>
              <w:t>1.2</w:t>
            </w:r>
          </w:p>
        </w:tc>
        <w:tc>
          <w:tcPr>
            <w:tcW w:w="3174" w:type="dxa"/>
            <w:vAlign w:val="center"/>
          </w:tcPr>
          <w:p w14:paraId="38241B9E" w14:textId="77777777" w:rsidR="00BD1C62" w:rsidRPr="008A473D" w:rsidRDefault="00BD1C62" w:rsidP="00567FBB">
            <w:pPr>
              <w:rPr>
                <w:rFonts w:ascii="Verdana" w:hAnsi="Verdana" w:cs="Calibri"/>
                <w:bCs/>
                <w:color w:val="000000" w:themeColor="text1"/>
                <w:sz w:val="18"/>
                <w:szCs w:val="18"/>
                <w:highlight w:val="yellow"/>
              </w:rPr>
            </w:pPr>
            <w:r w:rsidRPr="008A473D">
              <w:rPr>
                <w:rFonts w:ascii="Verdana" w:hAnsi="Verdana" w:cs="Calibri"/>
                <w:bCs/>
                <w:color w:val="000000" w:themeColor="text1"/>
                <w:sz w:val="18"/>
                <w:szCs w:val="18"/>
              </w:rPr>
              <w:t>Gender Equality mainstreamed in proposed outputs</w:t>
            </w:r>
          </w:p>
        </w:tc>
        <w:tc>
          <w:tcPr>
            <w:tcW w:w="810" w:type="dxa"/>
            <w:vAlign w:val="center"/>
          </w:tcPr>
          <w:p w14:paraId="5C444DB2" w14:textId="77777777" w:rsidR="00BD1C62" w:rsidRPr="00720482" w:rsidRDefault="00BD1C62" w:rsidP="00567FBB">
            <w:pPr>
              <w:jc w:val="center"/>
              <w:rPr>
                <w:rFonts w:ascii="Verdana" w:hAnsi="Verdana" w:cs="Calibri"/>
                <w:b/>
                <w:sz w:val="18"/>
                <w:szCs w:val="18"/>
              </w:rPr>
            </w:pPr>
          </w:p>
        </w:tc>
        <w:tc>
          <w:tcPr>
            <w:tcW w:w="5220" w:type="dxa"/>
            <w:vAlign w:val="center"/>
          </w:tcPr>
          <w:p w14:paraId="43658293" w14:textId="77777777" w:rsidR="00BD1C62" w:rsidRPr="00245E1A" w:rsidRDefault="00BD1C62" w:rsidP="00567FBB">
            <w:pPr>
              <w:rPr>
                <w:rFonts w:ascii="Verdana" w:hAnsi="Verdana" w:cs="Calibri"/>
                <w:bCs/>
                <w:sz w:val="18"/>
                <w:szCs w:val="18"/>
              </w:rPr>
            </w:pPr>
          </w:p>
        </w:tc>
        <w:tc>
          <w:tcPr>
            <w:tcW w:w="2880" w:type="dxa"/>
            <w:vAlign w:val="center"/>
          </w:tcPr>
          <w:p w14:paraId="284F243C" w14:textId="77777777" w:rsidR="00BD1C62" w:rsidRPr="00245E1A" w:rsidRDefault="00BD1C62" w:rsidP="00567FBB">
            <w:pPr>
              <w:rPr>
                <w:rFonts w:ascii="Verdana" w:hAnsi="Verdana" w:cs="Calibri"/>
                <w:bCs/>
                <w:sz w:val="18"/>
                <w:szCs w:val="18"/>
              </w:rPr>
            </w:pPr>
          </w:p>
        </w:tc>
      </w:tr>
      <w:tr w:rsidR="00BD1C62" w:rsidRPr="00245E1A" w14:paraId="54CF71A2" w14:textId="77777777" w:rsidTr="00567FBB">
        <w:trPr>
          <w:jc w:val="center"/>
        </w:trPr>
        <w:tc>
          <w:tcPr>
            <w:tcW w:w="511" w:type="dxa"/>
            <w:vAlign w:val="center"/>
          </w:tcPr>
          <w:p w14:paraId="1D51596F" w14:textId="77777777" w:rsidR="00BD1C62" w:rsidRPr="00245E1A" w:rsidRDefault="00BD1C62" w:rsidP="00567FBB">
            <w:pPr>
              <w:jc w:val="center"/>
              <w:rPr>
                <w:rFonts w:ascii="Verdana" w:hAnsi="Verdana" w:cs="Calibri"/>
                <w:bCs/>
                <w:sz w:val="18"/>
                <w:szCs w:val="18"/>
              </w:rPr>
            </w:pPr>
            <w:r>
              <w:rPr>
                <w:rFonts w:ascii="Verdana" w:hAnsi="Verdana" w:cs="Calibri"/>
                <w:bCs/>
                <w:sz w:val="18"/>
                <w:szCs w:val="18"/>
              </w:rPr>
              <w:t>1.3</w:t>
            </w:r>
          </w:p>
        </w:tc>
        <w:tc>
          <w:tcPr>
            <w:tcW w:w="3174" w:type="dxa"/>
            <w:vAlign w:val="center"/>
          </w:tcPr>
          <w:p w14:paraId="54E0CC38" w14:textId="77777777" w:rsidR="00BD1C62" w:rsidRPr="008A473D" w:rsidRDefault="00BD1C62" w:rsidP="00567FBB">
            <w:pPr>
              <w:rPr>
                <w:rFonts w:ascii="Verdana" w:hAnsi="Verdana" w:cs="Calibri"/>
                <w:bCs/>
                <w:color w:val="000000" w:themeColor="text1"/>
                <w:sz w:val="18"/>
                <w:szCs w:val="18"/>
                <w:highlight w:val="yellow"/>
              </w:rPr>
            </w:pPr>
            <w:r w:rsidRPr="008A473D">
              <w:rPr>
                <w:rFonts w:ascii="Verdana" w:hAnsi="Verdana" w:cs="Calibri"/>
                <w:bCs/>
                <w:color w:val="000000" w:themeColor="text1"/>
                <w:sz w:val="18"/>
                <w:szCs w:val="18"/>
              </w:rPr>
              <w:t>Programme output indicators measure changes on gender equality</w:t>
            </w:r>
          </w:p>
        </w:tc>
        <w:tc>
          <w:tcPr>
            <w:tcW w:w="810" w:type="dxa"/>
            <w:vAlign w:val="center"/>
          </w:tcPr>
          <w:p w14:paraId="4F075277" w14:textId="77777777" w:rsidR="00BD1C62" w:rsidRPr="00720482" w:rsidRDefault="00BD1C62" w:rsidP="00567FBB">
            <w:pPr>
              <w:jc w:val="center"/>
              <w:rPr>
                <w:rFonts w:ascii="Verdana" w:hAnsi="Verdana" w:cs="Calibri"/>
                <w:b/>
                <w:sz w:val="18"/>
                <w:szCs w:val="18"/>
              </w:rPr>
            </w:pPr>
          </w:p>
        </w:tc>
        <w:tc>
          <w:tcPr>
            <w:tcW w:w="5220" w:type="dxa"/>
            <w:vAlign w:val="center"/>
          </w:tcPr>
          <w:p w14:paraId="66F37C11" w14:textId="77777777" w:rsidR="00BD1C62" w:rsidRPr="00245E1A" w:rsidRDefault="00BD1C62" w:rsidP="00567FBB">
            <w:pPr>
              <w:rPr>
                <w:rFonts w:ascii="Verdana" w:hAnsi="Verdana" w:cs="Calibri"/>
                <w:bCs/>
                <w:sz w:val="18"/>
                <w:szCs w:val="18"/>
              </w:rPr>
            </w:pPr>
          </w:p>
        </w:tc>
        <w:tc>
          <w:tcPr>
            <w:tcW w:w="2880" w:type="dxa"/>
            <w:vAlign w:val="center"/>
          </w:tcPr>
          <w:p w14:paraId="25EB740A" w14:textId="77777777" w:rsidR="00BD1C62" w:rsidRPr="00245E1A" w:rsidRDefault="00BD1C62" w:rsidP="00567FBB">
            <w:pPr>
              <w:rPr>
                <w:rFonts w:ascii="Verdana" w:hAnsi="Verdana" w:cs="Calibri"/>
                <w:bCs/>
                <w:sz w:val="18"/>
                <w:szCs w:val="18"/>
              </w:rPr>
            </w:pPr>
          </w:p>
        </w:tc>
      </w:tr>
      <w:tr w:rsidR="00BD1C62" w:rsidRPr="00245E1A" w14:paraId="2F1700A9" w14:textId="77777777" w:rsidTr="00567FBB">
        <w:trPr>
          <w:jc w:val="center"/>
        </w:trPr>
        <w:tc>
          <w:tcPr>
            <w:tcW w:w="511" w:type="dxa"/>
            <w:vAlign w:val="center"/>
          </w:tcPr>
          <w:p w14:paraId="35473110" w14:textId="77777777" w:rsidR="00BD1C62" w:rsidRPr="00245E1A" w:rsidRDefault="00BD1C62" w:rsidP="00567FBB">
            <w:pPr>
              <w:jc w:val="center"/>
              <w:rPr>
                <w:rFonts w:ascii="Verdana" w:hAnsi="Verdana" w:cs="Calibri"/>
                <w:bCs/>
                <w:sz w:val="18"/>
                <w:szCs w:val="18"/>
              </w:rPr>
            </w:pPr>
            <w:r>
              <w:rPr>
                <w:rFonts w:ascii="Verdana" w:hAnsi="Verdana" w:cs="Calibri"/>
                <w:bCs/>
                <w:sz w:val="18"/>
                <w:szCs w:val="18"/>
              </w:rPr>
              <w:t>2.1</w:t>
            </w:r>
          </w:p>
        </w:tc>
        <w:tc>
          <w:tcPr>
            <w:tcW w:w="3174" w:type="dxa"/>
            <w:vAlign w:val="center"/>
          </w:tcPr>
          <w:p w14:paraId="07320B28" w14:textId="77777777" w:rsidR="00BD1C62" w:rsidRPr="008A473D" w:rsidRDefault="00BD1C62" w:rsidP="00567FBB">
            <w:pPr>
              <w:rPr>
                <w:rFonts w:ascii="Verdana" w:hAnsi="Verdana" w:cs="Calibri"/>
                <w:bCs/>
                <w:color w:val="000000" w:themeColor="text1"/>
                <w:sz w:val="18"/>
                <w:szCs w:val="18"/>
                <w:highlight w:val="yellow"/>
              </w:rPr>
            </w:pPr>
            <w:r w:rsidRPr="008A473D">
              <w:rPr>
                <w:rFonts w:ascii="Verdana" w:hAnsi="Verdana" w:cs="Calibri"/>
                <w:bCs/>
                <w:color w:val="000000" w:themeColor="text1"/>
                <w:sz w:val="18"/>
                <w:szCs w:val="18"/>
              </w:rPr>
              <w:t>PUNO collaborate and engage with Government on gender equality and the empowerment of women</w:t>
            </w:r>
          </w:p>
        </w:tc>
        <w:tc>
          <w:tcPr>
            <w:tcW w:w="810" w:type="dxa"/>
            <w:vAlign w:val="center"/>
          </w:tcPr>
          <w:p w14:paraId="25E2B6EE" w14:textId="77777777" w:rsidR="00BD1C62" w:rsidRPr="00720482" w:rsidRDefault="00BD1C62" w:rsidP="00567FBB">
            <w:pPr>
              <w:jc w:val="center"/>
              <w:rPr>
                <w:rFonts w:ascii="Verdana" w:hAnsi="Verdana" w:cs="Calibri"/>
                <w:b/>
                <w:sz w:val="18"/>
                <w:szCs w:val="18"/>
              </w:rPr>
            </w:pPr>
          </w:p>
        </w:tc>
        <w:tc>
          <w:tcPr>
            <w:tcW w:w="5220" w:type="dxa"/>
            <w:vAlign w:val="center"/>
          </w:tcPr>
          <w:p w14:paraId="05908130" w14:textId="77777777" w:rsidR="00BD1C62" w:rsidRPr="00245E1A" w:rsidRDefault="00BD1C62" w:rsidP="00567FBB">
            <w:pPr>
              <w:rPr>
                <w:rFonts w:ascii="Verdana" w:hAnsi="Verdana" w:cs="Calibri"/>
                <w:bCs/>
                <w:sz w:val="18"/>
                <w:szCs w:val="18"/>
              </w:rPr>
            </w:pPr>
          </w:p>
        </w:tc>
        <w:tc>
          <w:tcPr>
            <w:tcW w:w="2880" w:type="dxa"/>
            <w:vAlign w:val="center"/>
          </w:tcPr>
          <w:p w14:paraId="13B8AECF" w14:textId="77777777" w:rsidR="00BD1C62" w:rsidRPr="00245E1A" w:rsidRDefault="00BD1C62" w:rsidP="00567FBB">
            <w:pPr>
              <w:rPr>
                <w:rFonts w:ascii="Verdana" w:hAnsi="Verdana" w:cs="Calibri"/>
                <w:bCs/>
                <w:sz w:val="18"/>
                <w:szCs w:val="18"/>
              </w:rPr>
            </w:pPr>
          </w:p>
        </w:tc>
      </w:tr>
      <w:tr w:rsidR="00BD1C62" w:rsidRPr="00245E1A" w14:paraId="26520C36" w14:textId="77777777" w:rsidTr="00567FBB">
        <w:trPr>
          <w:jc w:val="center"/>
        </w:trPr>
        <w:tc>
          <w:tcPr>
            <w:tcW w:w="511" w:type="dxa"/>
            <w:vAlign w:val="center"/>
          </w:tcPr>
          <w:p w14:paraId="2081157C" w14:textId="77777777" w:rsidR="00BD1C62" w:rsidRPr="00245E1A" w:rsidRDefault="00BD1C62" w:rsidP="00567FBB">
            <w:pPr>
              <w:jc w:val="center"/>
              <w:rPr>
                <w:rFonts w:ascii="Verdana" w:hAnsi="Verdana" w:cs="Calibri"/>
                <w:bCs/>
                <w:sz w:val="18"/>
                <w:szCs w:val="18"/>
              </w:rPr>
            </w:pPr>
            <w:r>
              <w:rPr>
                <w:rFonts w:ascii="Verdana" w:hAnsi="Verdana" w:cs="Calibri"/>
                <w:bCs/>
                <w:sz w:val="18"/>
                <w:szCs w:val="18"/>
              </w:rPr>
              <w:t>2.2</w:t>
            </w:r>
          </w:p>
        </w:tc>
        <w:tc>
          <w:tcPr>
            <w:tcW w:w="3174" w:type="dxa"/>
            <w:vAlign w:val="center"/>
          </w:tcPr>
          <w:p w14:paraId="1321F178" w14:textId="77777777" w:rsidR="00BD1C62" w:rsidRPr="008A473D" w:rsidRDefault="00BD1C62" w:rsidP="00567FBB">
            <w:pPr>
              <w:rPr>
                <w:rFonts w:ascii="Verdana" w:hAnsi="Verdana" w:cs="Calibri"/>
                <w:bCs/>
                <w:color w:val="000000" w:themeColor="text1"/>
                <w:sz w:val="18"/>
                <w:szCs w:val="18"/>
                <w:highlight w:val="yellow"/>
              </w:rPr>
            </w:pPr>
            <w:r w:rsidRPr="008A473D">
              <w:rPr>
                <w:rFonts w:ascii="Verdana" w:hAnsi="Verdana" w:cs="Calibri"/>
                <w:bCs/>
                <w:color w:val="000000" w:themeColor="text1"/>
                <w:sz w:val="18"/>
                <w:szCs w:val="18"/>
              </w:rPr>
              <w:t>PUNO collaborate and engages with women’s/gender equality CSOs</w:t>
            </w:r>
          </w:p>
        </w:tc>
        <w:tc>
          <w:tcPr>
            <w:tcW w:w="810" w:type="dxa"/>
            <w:vAlign w:val="center"/>
          </w:tcPr>
          <w:p w14:paraId="18393DA5" w14:textId="77777777" w:rsidR="00BD1C62" w:rsidRPr="00720482" w:rsidRDefault="00BD1C62" w:rsidP="00567FBB">
            <w:pPr>
              <w:jc w:val="center"/>
              <w:rPr>
                <w:rFonts w:ascii="Verdana" w:hAnsi="Verdana" w:cs="Calibri"/>
                <w:b/>
                <w:sz w:val="18"/>
                <w:szCs w:val="18"/>
              </w:rPr>
            </w:pPr>
          </w:p>
        </w:tc>
        <w:tc>
          <w:tcPr>
            <w:tcW w:w="5220" w:type="dxa"/>
            <w:vAlign w:val="center"/>
          </w:tcPr>
          <w:p w14:paraId="66FEAD7E" w14:textId="77777777" w:rsidR="00BD1C62" w:rsidRPr="00245E1A" w:rsidRDefault="00BD1C62" w:rsidP="00567FBB">
            <w:pPr>
              <w:rPr>
                <w:rFonts w:ascii="Verdana" w:hAnsi="Verdana" w:cs="Calibri"/>
                <w:bCs/>
                <w:sz w:val="18"/>
                <w:szCs w:val="18"/>
              </w:rPr>
            </w:pPr>
          </w:p>
        </w:tc>
        <w:tc>
          <w:tcPr>
            <w:tcW w:w="2880" w:type="dxa"/>
            <w:vAlign w:val="center"/>
          </w:tcPr>
          <w:p w14:paraId="5352B0B6" w14:textId="77777777" w:rsidR="00BD1C62" w:rsidRPr="00245E1A" w:rsidRDefault="00BD1C62" w:rsidP="00567FBB">
            <w:pPr>
              <w:rPr>
                <w:rFonts w:ascii="Verdana" w:hAnsi="Verdana" w:cs="Calibri"/>
                <w:bCs/>
                <w:sz w:val="18"/>
                <w:szCs w:val="18"/>
              </w:rPr>
            </w:pPr>
          </w:p>
        </w:tc>
      </w:tr>
      <w:tr w:rsidR="00BD1C62" w:rsidRPr="00245E1A" w14:paraId="13091F74" w14:textId="77777777" w:rsidTr="00567FBB">
        <w:trPr>
          <w:jc w:val="center"/>
        </w:trPr>
        <w:tc>
          <w:tcPr>
            <w:tcW w:w="511" w:type="dxa"/>
            <w:vAlign w:val="center"/>
          </w:tcPr>
          <w:p w14:paraId="34AB4225" w14:textId="77777777" w:rsidR="00BD1C62" w:rsidRDefault="00BD1C62" w:rsidP="00567FBB">
            <w:pPr>
              <w:jc w:val="center"/>
              <w:rPr>
                <w:rFonts w:ascii="Verdana" w:hAnsi="Verdana" w:cs="Calibri"/>
                <w:bCs/>
                <w:sz w:val="18"/>
                <w:szCs w:val="18"/>
              </w:rPr>
            </w:pPr>
            <w:r>
              <w:rPr>
                <w:rFonts w:ascii="Verdana" w:hAnsi="Verdana" w:cs="Calibri"/>
                <w:bCs/>
                <w:sz w:val="18"/>
                <w:szCs w:val="18"/>
              </w:rPr>
              <w:t>3.1</w:t>
            </w:r>
          </w:p>
        </w:tc>
        <w:tc>
          <w:tcPr>
            <w:tcW w:w="3174" w:type="dxa"/>
            <w:vAlign w:val="center"/>
          </w:tcPr>
          <w:p w14:paraId="291546B5" w14:textId="77777777" w:rsidR="00BD1C62" w:rsidRPr="008A473D" w:rsidRDefault="00BD1C62" w:rsidP="00567FBB">
            <w:pPr>
              <w:rPr>
                <w:rFonts w:ascii="Verdana" w:hAnsi="Verdana" w:cs="Calibri"/>
                <w:bCs/>
                <w:color w:val="000000" w:themeColor="text1"/>
                <w:sz w:val="18"/>
                <w:szCs w:val="18"/>
              </w:rPr>
            </w:pPr>
            <w:r w:rsidRPr="008A473D">
              <w:rPr>
                <w:rFonts w:ascii="Verdana" w:hAnsi="Verdana" w:cs="Calibri"/>
                <w:bCs/>
                <w:color w:val="000000" w:themeColor="text1"/>
                <w:sz w:val="18"/>
                <w:szCs w:val="18"/>
              </w:rPr>
              <w:t>Program proposes a gender-responsive budget</w:t>
            </w:r>
          </w:p>
        </w:tc>
        <w:tc>
          <w:tcPr>
            <w:tcW w:w="810" w:type="dxa"/>
            <w:vAlign w:val="center"/>
          </w:tcPr>
          <w:p w14:paraId="30464940" w14:textId="77777777" w:rsidR="00BD1C62" w:rsidRPr="00720482" w:rsidRDefault="00BD1C62" w:rsidP="00567FBB">
            <w:pPr>
              <w:jc w:val="center"/>
              <w:rPr>
                <w:rFonts w:ascii="Verdana" w:hAnsi="Verdana" w:cs="Calibri"/>
                <w:b/>
                <w:sz w:val="18"/>
                <w:szCs w:val="18"/>
              </w:rPr>
            </w:pPr>
          </w:p>
        </w:tc>
        <w:tc>
          <w:tcPr>
            <w:tcW w:w="5220" w:type="dxa"/>
            <w:vAlign w:val="center"/>
          </w:tcPr>
          <w:p w14:paraId="1374D845" w14:textId="77777777" w:rsidR="00BD1C62" w:rsidRPr="00245E1A" w:rsidRDefault="00BD1C62" w:rsidP="00567FBB">
            <w:pPr>
              <w:rPr>
                <w:rFonts w:ascii="Verdana" w:hAnsi="Verdana" w:cs="Calibri"/>
                <w:bCs/>
                <w:sz w:val="18"/>
                <w:szCs w:val="18"/>
              </w:rPr>
            </w:pPr>
          </w:p>
        </w:tc>
        <w:tc>
          <w:tcPr>
            <w:tcW w:w="2880" w:type="dxa"/>
            <w:vAlign w:val="center"/>
          </w:tcPr>
          <w:p w14:paraId="04999581" w14:textId="77777777" w:rsidR="00BD1C62" w:rsidRPr="00245E1A" w:rsidRDefault="00BD1C62" w:rsidP="00567FBB">
            <w:pPr>
              <w:rPr>
                <w:rFonts w:ascii="Verdana" w:hAnsi="Verdana" w:cs="Calibri"/>
                <w:bCs/>
                <w:sz w:val="18"/>
                <w:szCs w:val="18"/>
              </w:rPr>
            </w:pPr>
          </w:p>
        </w:tc>
      </w:tr>
      <w:tr w:rsidR="00BD1C62" w:rsidRPr="00245E1A" w14:paraId="6DE20304" w14:textId="77777777" w:rsidTr="00567FBB">
        <w:trPr>
          <w:jc w:val="center"/>
        </w:trPr>
        <w:tc>
          <w:tcPr>
            <w:tcW w:w="3685" w:type="dxa"/>
            <w:gridSpan w:val="2"/>
            <w:vAlign w:val="center"/>
          </w:tcPr>
          <w:p w14:paraId="60085159" w14:textId="77777777" w:rsidR="00BD1C62" w:rsidRPr="00245E1A" w:rsidRDefault="00BD1C62" w:rsidP="00567FBB">
            <w:pPr>
              <w:rPr>
                <w:rFonts w:ascii="Verdana" w:hAnsi="Verdana" w:cs="Calibri"/>
                <w:bCs/>
                <w:sz w:val="18"/>
                <w:szCs w:val="18"/>
              </w:rPr>
            </w:pPr>
            <w:r w:rsidRPr="00245E1A">
              <w:rPr>
                <w:rFonts w:ascii="Verdana" w:hAnsi="Verdana" w:cs="Calibri"/>
                <w:b/>
                <w:sz w:val="18"/>
                <w:szCs w:val="18"/>
              </w:rPr>
              <w:t>Total scoring</w:t>
            </w:r>
          </w:p>
        </w:tc>
        <w:tc>
          <w:tcPr>
            <w:tcW w:w="810" w:type="dxa"/>
            <w:vAlign w:val="center"/>
          </w:tcPr>
          <w:p w14:paraId="3A25A39E" w14:textId="77777777" w:rsidR="00BD1C62" w:rsidRPr="00720482" w:rsidRDefault="00BD1C62" w:rsidP="00567FBB">
            <w:pPr>
              <w:jc w:val="center"/>
              <w:rPr>
                <w:rFonts w:ascii="Verdana" w:hAnsi="Verdana" w:cs="Calibri"/>
                <w:b/>
                <w:sz w:val="24"/>
                <w:szCs w:val="24"/>
              </w:rPr>
            </w:pPr>
          </w:p>
        </w:tc>
        <w:tc>
          <w:tcPr>
            <w:tcW w:w="8100" w:type="dxa"/>
            <w:gridSpan w:val="2"/>
            <w:shd w:val="clear" w:color="auto" w:fill="244061" w:themeFill="accent1" w:themeFillShade="80"/>
            <w:vAlign w:val="center"/>
          </w:tcPr>
          <w:p w14:paraId="5102A789" w14:textId="77777777" w:rsidR="00BD1C62" w:rsidRPr="00245E1A" w:rsidRDefault="00BD1C62" w:rsidP="00567FBB">
            <w:pPr>
              <w:rPr>
                <w:rFonts w:ascii="Verdana" w:hAnsi="Verdana" w:cs="Calibri"/>
                <w:bCs/>
                <w:sz w:val="18"/>
                <w:szCs w:val="18"/>
              </w:rPr>
            </w:pPr>
          </w:p>
        </w:tc>
      </w:tr>
    </w:tbl>
    <w:p w14:paraId="4F603951" w14:textId="3983B81C" w:rsidR="00BD1C62" w:rsidRDefault="00BD1C62" w:rsidP="005B5B94">
      <w:pPr>
        <w:spacing w:after="0" w:line="240" w:lineRule="auto"/>
        <w:rPr>
          <w:rFonts w:ascii="Verdana" w:hAnsi="Verdana" w:cs="Calibri"/>
          <w:b/>
          <w:color w:val="4F81BD" w:themeColor="accent1"/>
          <w:sz w:val="20"/>
          <w:szCs w:val="20"/>
        </w:rPr>
      </w:pPr>
    </w:p>
    <w:p w14:paraId="0D3AE24A" w14:textId="77777777" w:rsidR="00BD1C62" w:rsidRPr="00704B12" w:rsidRDefault="00BD1C62" w:rsidP="005B5B94">
      <w:pPr>
        <w:spacing w:after="0" w:line="240" w:lineRule="auto"/>
        <w:rPr>
          <w:rFonts w:ascii="Verdana" w:hAnsi="Verdana" w:cs="Calibri"/>
          <w:b/>
          <w:color w:val="4F81BD" w:themeColor="accent1"/>
          <w:sz w:val="20"/>
          <w:szCs w:val="20"/>
        </w:rPr>
      </w:pPr>
    </w:p>
    <w:p w14:paraId="23C1D1D2" w14:textId="77777777" w:rsidR="004E714A" w:rsidRPr="00704B12" w:rsidRDefault="004E714A" w:rsidP="005B5B94">
      <w:pPr>
        <w:spacing w:after="0" w:line="240" w:lineRule="auto"/>
        <w:rPr>
          <w:rFonts w:ascii="Verdana" w:hAnsi="Verdana" w:cs="Calibri"/>
          <w:bCs/>
          <w:sz w:val="20"/>
          <w:szCs w:val="20"/>
        </w:rPr>
      </w:pPr>
    </w:p>
    <w:p w14:paraId="5D9B3D54" w14:textId="77777777" w:rsidR="004E714A" w:rsidRPr="00704B12" w:rsidRDefault="004E714A" w:rsidP="005B5B94">
      <w:pPr>
        <w:spacing w:after="0" w:line="240" w:lineRule="auto"/>
        <w:rPr>
          <w:rFonts w:ascii="Verdana" w:hAnsi="Verdana" w:cs="Calibri"/>
          <w:b/>
          <w:color w:val="4F81BD" w:themeColor="accent1"/>
          <w:sz w:val="20"/>
          <w:szCs w:val="20"/>
        </w:rPr>
      </w:pPr>
    </w:p>
    <w:p w14:paraId="278CA9C4" w14:textId="77777777" w:rsidR="004E714A" w:rsidRPr="00704B12" w:rsidRDefault="004E714A" w:rsidP="005B5B94">
      <w:pPr>
        <w:spacing w:after="0" w:line="240" w:lineRule="auto"/>
        <w:rPr>
          <w:rFonts w:ascii="Verdana" w:hAnsi="Verdana" w:cs="Calibri"/>
          <w:b/>
          <w:color w:val="4F81BD" w:themeColor="accent1"/>
          <w:sz w:val="20"/>
          <w:szCs w:val="20"/>
        </w:rPr>
      </w:pPr>
    </w:p>
    <w:p w14:paraId="5A598D68" w14:textId="77777777" w:rsidR="004E714A" w:rsidRPr="00704B12" w:rsidRDefault="004E714A" w:rsidP="005B5B94">
      <w:pPr>
        <w:spacing w:after="0" w:line="240" w:lineRule="auto"/>
        <w:rPr>
          <w:rFonts w:ascii="Verdana" w:hAnsi="Verdana" w:cs="Calibri"/>
          <w:b/>
          <w:color w:val="4F81BD" w:themeColor="accent1"/>
          <w:sz w:val="20"/>
          <w:szCs w:val="20"/>
        </w:rPr>
      </w:pPr>
    </w:p>
    <w:p w14:paraId="3892BA61" w14:textId="77777777" w:rsidR="004E714A" w:rsidRPr="00704B12" w:rsidRDefault="004E714A" w:rsidP="005B5B94">
      <w:pPr>
        <w:spacing w:after="0" w:line="240" w:lineRule="auto"/>
        <w:rPr>
          <w:rFonts w:ascii="Verdana" w:hAnsi="Verdana" w:cs="Calibri"/>
          <w:b/>
          <w:color w:val="4F81BD" w:themeColor="accent1"/>
          <w:sz w:val="20"/>
          <w:szCs w:val="20"/>
        </w:rPr>
        <w:sectPr w:rsidR="004E714A" w:rsidRPr="00704B12" w:rsidSect="00103CE3">
          <w:type w:val="continuous"/>
          <w:pgSz w:w="11906" w:h="16838"/>
          <w:pgMar w:top="1440" w:right="1440" w:bottom="1440" w:left="1440" w:header="720" w:footer="720" w:gutter="0"/>
          <w:cols w:space="720"/>
          <w:docGrid w:linePitch="360"/>
        </w:sectPr>
      </w:pPr>
    </w:p>
    <w:p w14:paraId="27B68598" w14:textId="0531EF7E" w:rsidR="00A7562A" w:rsidRPr="00103CE3" w:rsidRDefault="00A7562A" w:rsidP="00103CE3">
      <w:pPr>
        <w:spacing w:after="0" w:line="240" w:lineRule="auto"/>
        <w:jc w:val="both"/>
        <w:rPr>
          <w:rFonts w:ascii="Verdana" w:hAnsi="Verdana" w:cs="Calibri"/>
          <w:sz w:val="20"/>
          <w:szCs w:val="20"/>
          <w:lang w:val="en-US"/>
        </w:rPr>
      </w:pPr>
    </w:p>
    <w:sectPr w:rsidR="00A7562A" w:rsidRPr="00103CE3" w:rsidSect="00103CE3">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DE8B" w14:textId="77777777" w:rsidR="00403808" w:rsidRDefault="00403808" w:rsidP="006C736F">
      <w:pPr>
        <w:spacing w:after="0" w:line="240" w:lineRule="auto"/>
      </w:pPr>
      <w:r>
        <w:separator/>
      </w:r>
    </w:p>
  </w:endnote>
  <w:endnote w:type="continuationSeparator" w:id="0">
    <w:p w14:paraId="4D68E1B9" w14:textId="77777777" w:rsidR="00403808" w:rsidRDefault="00403808" w:rsidP="006C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32984"/>
      <w:docPartObj>
        <w:docPartGallery w:val="Page Numbers (Bottom of Page)"/>
        <w:docPartUnique/>
      </w:docPartObj>
    </w:sdtPr>
    <w:sdtEndPr>
      <w:rPr>
        <w:noProof/>
      </w:rPr>
    </w:sdtEndPr>
    <w:sdtContent>
      <w:p w14:paraId="04CF20FA" w14:textId="004931B9" w:rsidR="00704B12" w:rsidRDefault="00704B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2F7A6C" w14:textId="77777777" w:rsidR="00704B12" w:rsidRDefault="0070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6D67" w14:textId="77777777" w:rsidR="00403808" w:rsidRDefault="00403808" w:rsidP="006C736F">
      <w:pPr>
        <w:spacing w:after="0" w:line="240" w:lineRule="auto"/>
      </w:pPr>
      <w:r>
        <w:separator/>
      </w:r>
    </w:p>
  </w:footnote>
  <w:footnote w:type="continuationSeparator" w:id="0">
    <w:p w14:paraId="175DC963" w14:textId="77777777" w:rsidR="00403808" w:rsidRDefault="00403808" w:rsidP="006C736F">
      <w:pPr>
        <w:spacing w:after="0" w:line="240" w:lineRule="auto"/>
      </w:pPr>
      <w:r>
        <w:continuationSeparator/>
      </w:r>
    </w:p>
  </w:footnote>
  <w:footnote w:id="1">
    <w:p w14:paraId="106AEFC3" w14:textId="7607F11F" w:rsidR="005B5B94" w:rsidRPr="005B5B94" w:rsidRDefault="005B5B94">
      <w:pPr>
        <w:pStyle w:val="FootnoteText"/>
        <w:rPr>
          <w:lang w:val="en-US"/>
        </w:rPr>
      </w:pPr>
      <w:r>
        <w:rPr>
          <w:rStyle w:val="FootnoteReference"/>
        </w:rPr>
        <w:footnoteRef/>
      </w:r>
      <w:r>
        <w:t xml:space="preserve"> </w:t>
      </w:r>
      <w:r w:rsidRPr="00A35631">
        <w:rPr>
          <w:lang w:val="en-US"/>
        </w:rPr>
        <w:t>This section is taken from t</w:t>
      </w:r>
      <w:r>
        <w:rPr>
          <w:lang w:val="en-US"/>
        </w:rPr>
        <w:t xml:space="preserve">he UNCT SWAP Gender Equality Score card to ensure same understanding for UNCTs </w:t>
      </w:r>
      <w:hyperlink r:id="rId1" w:history="1">
        <w:r w:rsidRPr="000216E0">
          <w:rPr>
            <w:rStyle w:val="Hyperlink"/>
            <w:lang w:val="en-US"/>
          </w:rPr>
          <w:t>https://undg.org/wp-content/uploads/2018/06/UNCT-SWAP_Gender-report_Web.pdf</w:t>
        </w:r>
      </w:hyperlink>
    </w:p>
  </w:footnote>
  <w:footnote w:id="2">
    <w:p w14:paraId="7CA2E9F2" w14:textId="37469E53" w:rsidR="005B5B94" w:rsidRPr="005B5B94" w:rsidRDefault="005B5B94">
      <w:pPr>
        <w:pStyle w:val="FootnoteText"/>
        <w:rPr>
          <w:lang w:val="en-US"/>
        </w:rPr>
      </w:pPr>
      <w:r>
        <w:rPr>
          <w:rStyle w:val="FootnoteReference"/>
        </w:rPr>
        <w:footnoteRef/>
      </w:r>
      <w:r>
        <w:t xml:space="preserve"> </w:t>
      </w:r>
      <w:r w:rsidRPr="00A35631">
        <w:rPr>
          <w:lang w:val="en-US"/>
        </w:rPr>
        <w:t>This section is taken from t</w:t>
      </w:r>
      <w:r>
        <w:rPr>
          <w:lang w:val="en-US"/>
        </w:rPr>
        <w:t xml:space="preserve">he UNCT SWAP Gender Equality Score card to ensure same understanding for UNCTs </w:t>
      </w:r>
      <w:hyperlink r:id="rId2" w:history="1">
        <w:r w:rsidRPr="000216E0">
          <w:rPr>
            <w:rStyle w:val="Hyperlink"/>
            <w:lang w:val="en-US"/>
          </w:rPr>
          <w:t>https://undg.org/wp-content/uploads/2018/06/UNCT-SWAP_Gender-report_Web.pdf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0722" w14:textId="6C6B1797" w:rsidR="005B5B94" w:rsidRDefault="005B5B94" w:rsidP="005B5B94">
    <w:pPr>
      <w:pStyle w:val="Header"/>
      <w:jc w:val="right"/>
    </w:pPr>
    <w:r w:rsidRPr="000277DC">
      <w:rPr>
        <w:noProof/>
        <w:color w:val="000000" w:themeColor="text1"/>
        <w:lang w:eastAsia="en-GB"/>
      </w:rPr>
      <w:drawing>
        <wp:inline distT="0" distB="0" distL="0" distR="0" wp14:anchorId="6374E2BB" wp14:editId="162B08E9">
          <wp:extent cx="1833880" cy="452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880" cy="452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80C51"/>
    <w:multiLevelType w:val="hybridMultilevel"/>
    <w:tmpl w:val="B7BAE1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670C21"/>
    <w:multiLevelType w:val="hybridMultilevel"/>
    <w:tmpl w:val="756456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B79F9"/>
    <w:multiLevelType w:val="hybridMultilevel"/>
    <w:tmpl w:val="1C24F04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0224E"/>
    <w:multiLevelType w:val="hybridMultilevel"/>
    <w:tmpl w:val="11BA8610"/>
    <w:lvl w:ilvl="0" w:tplc="F06E6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AC855"/>
    <w:multiLevelType w:val="hybridMultilevel"/>
    <w:tmpl w:val="F64308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160EFF"/>
    <w:multiLevelType w:val="hybridMultilevel"/>
    <w:tmpl w:val="11BA8610"/>
    <w:lvl w:ilvl="0" w:tplc="F06E6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47CC4"/>
    <w:multiLevelType w:val="hybridMultilevel"/>
    <w:tmpl w:val="B81187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5D6537"/>
    <w:multiLevelType w:val="hybridMultilevel"/>
    <w:tmpl w:val="65C83A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657DE"/>
    <w:multiLevelType w:val="hybridMultilevel"/>
    <w:tmpl w:val="F36C3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47E17"/>
    <w:multiLevelType w:val="hybridMultilevel"/>
    <w:tmpl w:val="11BA8610"/>
    <w:lvl w:ilvl="0" w:tplc="F06E6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E2AF7"/>
    <w:multiLevelType w:val="hybridMultilevel"/>
    <w:tmpl w:val="09044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C377C"/>
    <w:multiLevelType w:val="hybridMultilevel"/>
    <w:tmpl w:val="BBF6442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C85AC8"/>
    <w:multiLevelType w:val="hybridMultilevel"/>
    <w:tmpl w:val="CCE2A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1706D"/>
    <w:multiLevelType w:val="hybridMultilevel"/>
    <w:tmpl w:val="9170EB9C"/>
    <w:lvl w:ilvl="0" w:tplc="4F560174">
      <w:start w:val="1"/>
      <w:numFmt w:val="bullet"/>
      <w:lvlText w:val="•"/>
      <w:lvlJc w:val="left"/>
      <w:pPr>
        <w:tabs>
          <w:tab w:val="num" w:pos="720"/>
        </w:tabs>
        <w:ind w:left="720" w:hanging="360"/>
      </w:pPr>
      <w:rPr>
        <w:rFonts w:ascii="Arial" w:hAnsi="Arial" w:hint="default"/>
      </w:rPr>
    </w:lvl>
    <w:lvl w:ilvl="1" w:tplc="40A21164" w:tentative="1">
      <w:start w:val="1"/>
      <w:numFmt w:val="bullet"/>
      <w:lvlText w:val="•"/>
      <w:lvlJc w:val="left"/>
      <w:pPr>
        <w:tabs>
          <w:tab w:val="num" w:pos="1440"/>
        </w:tabs>
        <w:ind w:left="1440" w:hanging="360"/>
      </w:pPr>
      <w:rPr>
        <w:rFonts w:ascii="Arial" w:hAnsi="Arial" w:hint="default"/>
      </w:rPr>
    </w:lvl>
    <w:lvl w:ilvl="2" w:tplc="AAE0084C" w:tentative="1">
      <w:start w:val="1"/>
      <w:numFmt w:val="bullet"/>
      <w:lvlText w:val="•"/>
      <w:lvlJc w:val="left"/>
      <w:pPr>
        <w:tabs>
          <w:tab w:val="num" w:pos="2160"/>
        </w:tabs>
        <w:ind w:left="2160" w:hanging="360"/>
      </w:pPr>
      <w:rPr>
        <w:rFonts w:ascii="Arial" w:hAnsi="Arial" w:hint="default"/>
      </w:rPr>
    </w:lvl>
    <w:lvl w:ilvl="3" w:tplc="CF3EF4C8" w:tentative="1">
      <w:start w:val="1"/>
      <w:numFmt w:val="bullet"/>
      <w:lvlText w:val="•"/>
      <w:lvlJc w:val="left"/>
      <w:pPr>
        <w:tabs>
          <w:tab w:val="num" w:pos="2880"/>
        </w:tabs>
        <w:ind w:left="2880" w:hanging="360"/>
      </w:pPr>
      <w:rPr>
        <w:rFonts w:ascii="Arial" w:hAnsi="Arial" w:hint="default"/>
      </w:rPr>
    </w:lvl>
    <w:lvl w:ilvl="4" w:tplc="323C90D8" w:tentative="1">
      <w:start w:val="1"/>
      <w:numFmt w:val="bullet"/>
      <w:lvlText w:val="•"/>
      <w:lvlJc w:val="left"/>
      <w:pPr>
        <w:tabs>
          <w:tab w:val="num" w:pos="3600"/>
        </w:tabs>
        <w:ind w:left="3600" w:hanging="360"/>
      </w:pPr>
      <w:rPr>
        <w:rFonts w:ascii="Arial" w:hAnsi="Arial" w:hint="default"/>
      </w:rPr>
    </w:lvl>
    <w:lvl w:ilvl="5" w:tplc="1A801E44" w:tentative="1">
      <w:start w:val="1"/>
      <w:numFmt w:val="bullet"/>
      <w:lvlText w:val="•"/>
      <w:lvlJc w:val="left"/>
      <w:pPr>
        <w:tabs>
          <w:tab w:val="num" w:pos="4320"/>
        </w:tabs>
        <w:ind w:left="4320" w:hanging="360"/>
      </w:pPr>
      <w:rPr>
        <w:rFonts w:ascii="Arial" w:hAnsi="Arial" w:hint="default"/>
      </w:rPr>
    </w:lvl>
    <w:lvl w:ilvl="6" w:tplc="8C7AB0C2" w:tentative="1">
      <w:start w:val="1"/>
      <w:numFmt w:val="bullet"/>
      <w:lvlText w:val="•"/>
      <w:lvlJc w:val="left"/>
      <w:pPr>
        <w:tabs>
          <w:tab w:val="num" w:pos="5040"/>
        </w:tabs>
        <w:ind w:left="5040" w:hanging="360"/>
      </w:pPr>
      <w:rPr>
        <w:rFonts w:ascii="Arial" w:hAnsi="Arial" w:hint="default"/>
      </w:rPr>
    </w:lvl>
    <w:lvl w:ilvl="7" w:tplc="80362FB2" w:tentative="1">
      <w:start w:val="1"/>
      <w:numFmt w:val="bullet"/>
      <w:lvlText w:val="•"/>
      <w:lvlJc w:val="left"/>
      <w:pPr>
        <w:tabs>
          <w:tab w:val="num" w:pos="5760"/>
        </w:tabs>
        <w:ind w:left="5760" w:hanging="360"/>
      </w:pPr>
      <w:rPr>
        <w:rFonts w:ascii="Arial" w:hAnsi="Arial" w:hint="default"/>
      </w:rPr>
    </w:lvl>
    <w:lvl w:ilvl="8" w:tplc="264EF2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4A0F42"/>
    <w:multiLevelType w:val="hybridMultilevel"/>
    <w:tmpl w:val="0E18E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A31BB"/>
    <w:multiLevelType w:val="hybridMultilevel"/>
    <w:tmpl w:val="45121F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2D122C"/>
    <w:multiLevelType w:val="hybridMultilevel"/>
    <w:tmpl w:val="CDEEA48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11E77"/>
    <w:multiLevelType w:val="hybridMultilevel"/>
    <w:tmpl w:val="957C40E4"/>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C1646B"/>
    <w:multiLevelType w:val="hybridMultilevel"/>
    <w:tmpl w:val="9300EA6E"/>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73039D"/>
    <w:multiLevelType w:val="hybridMultilevel"/>
    <w:tmpl w:val="B52E1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2"/>
  </w:num>
  <w:num w:numId="4">
    <w:abstractNumId w:val="18"/>
  </w:num>
  <w:num w:numId="5">
    <w:abstractNumId w:val="17"/>
  </w:num>
  <w:num w:numId="6">
    <w:abstractNumId w:val="0"/>
  </w:num>
  <w:num w:numId="7">
    <w:abstractNumId w:val="5"/>
  </w:num>
  <w:num w:numId="8">
    <w:abstractNumId w:val="4"/>
  </w:num>
  <w:num w:numId="9">
    <w:abstractNumId w:val="1"/>
  </w:num>
  <w:num w:numId="10">
    <w:abstractNumId w:val="6"/>
  </w:num>
  <w:num w:numId="11">
    <w:abstractNumId w:val="12"/>
  </w:num>
  <w:num w:numId="12">
    <w:abstractNumId w:val="8"/>
  </w:num>
  <w:num w:numId="13">
    <w:abstractNumId w:val="9"/>
  </w:num>
  <w:num w:numId="14">
    <w:abstractNumId w:val="14"/>
  </w:num>
  <w:num w:numId="15">
    <w:abstractNumId w:val="3"/>
  </w:num>
  <w:num w:numId="16">
    <w:abstractNumId w:val="7"/>
  </w:num>
  <w:num w:numId="17">
    <w:abstractNumId w:val="19"/>
  </w:num>
  <w:num w:numId="18">
    <w:abstractNumId w:val="1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6F"/>
    <w:rsid w:val="00005076"/>
    <w:rsid w:val="000448B9"/>
    <w:rsid w:val="00083AB5"/>
    <w:rsid w:val="00103CE3"/>
    <w:rsid w:val="001479CC"/>
    <w:rsid w:val="00166039"/>
    <w:rsid w:val="00291555"/>
    <w:rsid w:val="002A25A1"/>
    <w:rsid w:val="002C7E7A"/>
    <w:rsid w:val="002E5ABF"/>
    <w:rsid w:val="002E7CA1"/>
    <w:rsid w:val="002F0547"/>
    <w:rsid w:val="003B0312"/>
    <w:rsid w:val="003B0517"/>
    <w:rsid w:val="003D57C1"/>
    <w:rsid w:val="003E6FE4"/>
    <w:rsid w:val="003F1308"/>
    <w:rsid w:val="00403808"/>
    <w:rsid w:val="00433BFD"/>
    <w:rsid w:val="004341FA"/>
    <w:rsid w:val="0045186B"/>
    <w:rsid w:val="00471B6C"/>
    <w:rsid w:val="004720D6"/>
    <w:rsid w:val="004E714A"/>
    <w:rsid w:val="005451CA"/>
    <w:rsid w:val="00562C2C"/>
    <w:rsid w:val="00573D11"/>
    <w:rsid w:val="005804AD"/>
    <w:rsid w:val="005B5B94"/>
    <w:rsid w:val="005D44F3"/>
    <w:rsid w:val="005F36BA"/>
    <w:rsid w:val="00616C6E"/>
    <w:rsid w:val="006A7957"/>
    <w:rsid w:val="006C736F"/>
    <w:rsid w:val="006D0C25"/>
    <w:rsid w:val="00704B12"/>
    <w:rsid w:val="00712EBE"/>
    <w:rsid w:val="00757FCC"/>
    <w:rsid w:val="0077708D"/>
    <w:rsid w:val="00791100"/>
    <w:rsid w:val="007B30E0"/>
    <w:rsid w:val="00803973"/>
    <w:rsid w:val="008061DB"/>
    <w:rsid w:val="0089622A"/>
    <w:rsid w:val="008B2761"/>
    <w:rsid w:val="00910C74"/>
    <w:rsid w:val="009871FC"/>
    <w:rsid w:val="00996A78"/>
    <w:rsid w:val="009B52E9"/>
    <w:rsid w:val="00A246F3"/>
    <w:rsid w:val="00A35631"/>
    <w:rsid w:val="00A370A7"/>
    <w:rsid w:val="00A51840"/>
    <w:rsid w:val="00A61932"/>
    <w:rsid w:val="00A7562A"/>
    <w:rsid w:val="00A75DD1"/>
    <w:rsid w:val="00A84B79"/>
    <w:rsid w:val="00B00699"/>
    <w:rsid w:val="00B2625A"/>
    <w:rsid w:val="00B42E51"/>
    <w:rsid w:val="00B62E7C"/>
    <w:rsid w:val="00B83E54"/>
    <w:rsid w:val="00BD1C62"/>
    <w:rsid w:val="00C15E32"/>
    <w:rsid w:val="00C45281"/>
    <w:rsid w:val="00C8361C"/>
    <w:rsid w:val="00CB34DA"/>
    <w:rsid w:val="00CB41BA"/>
    <w:rsid w:val="00CC1C69"/>
    <w:rsid w:val="00D04D5A"/>
    <w:rsid w:val="00DE2406"/>
    <w:rsid w:val="00E72097"/>
    <w:rsid w:val="00ED1C29"/>
    <w:rsid w:val="00EE563D"/>
    <w:rsid w:val="00F258B7"/>
    <w:rsid w:val="00F67DEB"/>
    <w:rsid w:val="00FA51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23A1A"/>
  <w15:docId w15:val="{16F9D37D-964B-45BF-A487-6A0A9BD0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36F"/>
    <w:rPr>
      <w:sz w:val="20"/>
      <w:szCs w:val="20"/>
    </w:rPr>
  </w:style>
  <w:style w:type="character" w:styleId="FootnoteReference">
    <w:name w:val="footnote reference"/>
    <w:basedOn w:val="DefaultParagraphFont"/>
    <w:uiPriority w:val="99"/>
    <w:semiHidden/>
    <w:unhideWhenUsed/>
    <w:rsid w:val="006C736F"/>
    <w:rPr>
      <w:vertAlign w:val="superscript"/>
    </w:rPr>
  </w:style>
  <w:style w:type="character" w:styleId="Hyperlink">
    <w:name w:val="Hyperlink"/>
    <w:basedOn w:val="DefaultParagraphFont"/>
    <w:uiPriority w:val="99"/>
    <w:unhideWhenUsed/>
    <w:rsid w:val="00DE2406"/>
    <w:rPr>
      <w:color w:val="0000FF" w:themeColor="hyperlink"/>
      <w:u w:val="single"/>
    </w:rPr>
  </w:style>
  <w:style w:type="paragraph" w:styleId="ListParagraph">
    <w:name w:val="List Paragraph"/>
    <w:basedOn w:val="Normal"/>
    <w:uiPriority w:val="34"/>
    <w:qFormat/>
    <w:rsid w:val="00DE2406"/>
    <w:pPr>
      <w:ind w:left="720"/>
      <w:contextualSpacing/>
    </w:pPr>
  </w:style>
  <w:style w:type="paragraph" w:styleId="Header">
    <w:name w:val="header"/>
    <w:basedOn w:val="Normal"/>
    <w:link w:val="HeaderChar"/>
    <w:uiPriority w:val="99"/>
    <w:unhideWhenUsed/>
    <w:rsid w:val="00472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D6"/>
  </w:style>
  <w:style w:type="paragraph" w:styleId="Footer">
    <w:name w:val="footer"/>
    <w:basedOn w:val="Normal"/>
    <w:link w:val="FooterChar"/>
    <w:uiPriority w:val="99"/>
    <w:unhideWhenUsed/>
    <w:rsid w:val="00472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D6"/>
  </w:style>
  <w:style w:type="paragraph" w:styleId="NormalWeb">
    <w:name w:val="Normal (Web)"/>
    <w:basedOn w:val="Normal"/>
    <w:uiPriority w:val="99"/>
    <w:unhideWhenUsed/>
    <w:rsid w:val="00F258B7"/>
    <w:pPr>
      <w:spacing w:after="165" w:line="240" w:lineRule="auto"/>
    </w:pPr>
    <w:rPr>
      <w:rFonts w:ascii="Times New Roman" w:eastAsia="Times New Roman" w:hAnsi="Times New Roman" w:cs="Times New Roman"/>
      <w:sz w:val="24"/>
      <w:szCs w:val="24"/>
      <w:lang w:val="en-US" w:eastAsia="zh-CN"/>
    </w:rPr>
  </w:style>
  <w:style w:type="paragraph" w:customStyle="1" w:styleId="Default">
    <w:name w:val="Default"/>
    <w:rsid w:val="00C15E32"/>
    <w:pPr>
      <w:autoSpaceDE w:val="0"/>
      <w:autoSpaceDN w:val="0"/>
      <w:adjustRightInd w:val="0"/>
      <w:spacing w:after="0" w:line="240" w:lineRule="auto"/>
    </w:pPr>
    <w:rPr>
      <w:rFonts w:ascii="Cambria" w:hAnsi="Cambria" w:cs="Cambria"/>
      <w:color w:val="000000"/>
      <w:sz w:val="24"/>
      <w:szCs w:val="24"/>
      <w:lang w:val="en-US"/>
    </w:rPr>
  </w:style>
  <w:style w:type="character" w:styleId="UnresolvedMention">
    <w:name w:val="Unresolved Mention"/>
    <w:basedOn w:val="DefaultParagraphFont"/>
    <w:uiPriority w:val="99"/>
    <w:semiHidden/>
    <w:unhideWhenUsed/>
    <w:rsid w:val="00A35631"/>
    <w:rPr>
      <w:color w:val="605E5C"/>
      <w:shd w:val="clear" w:color="auto" w:fill="E1DFDD"/>
    </w:rPr>
  </w:style>
  <w:style w:type="character" w:styleId="CommentReference">
    <w:name w:val="annotation reference"/>
    <w:basedOn w:val="DefaultParagraphFont"/>
    <w:uiPriority w:val="99"/>
    <w:semiHidden/>
    <w:unhideWhenUsed/>
    <w:rsid w:val="00166039"/>
    <w:rPr>
      <w:sz w:val="16"/>
      <w:szCs w:val="16"/>
    </w:rPr>
  </w:style>
  <w:style w:type="paragraph" w:styleId="CommentText">
    <w:name w:val="annotation text"/>
    <w:basedOn w:val="Normal"/>
    <w:link w:val="CommentTextChar"/>
    <w:uiPriority w:val="99"/>
    <w:semiHidden/>
    <w:unhideWhenUsed/>
    <w:rsid w:val="00166039"/>
    <w:pPr>
      <w:spacing w:line="240" w:lineRule="auto"/>
    </w:pPr>
    <w:rPr>
      <w:sz w:val="20"/>
      <w:szCs w:val="20"/>
    </w:rPr>
  </w:style>
  <w:style w:type="character" w:customStyle="1" w:styleId="CommentTextChar">
    <w:name w:val="Comment Text Char"/>
    <w:basedOn w:val="DefaultParagraphFont"/>
    <w:link w:val="CommentText"/>
    <w:uiPriority w:val="99"/>
    <w:semiHidden/>
    <w:rsid w:val="00166039"/>
    <w:rPr>
      <w:sz w:val="20"/>
      <w:szCs w:val="20"/>
    </w:rPr>
  </w:style>
  <w:style w:type="paragraph" w:styleId="CommentSubject">
    <w:name w:val="annotation subject"/>
    <w:basedOn w:val="CommentText"/>
    <w:next w:val="CommentText"/>
    <w:link w:val="CommentSubjectChar"/>
    <w:uiPriority w:val="99"/>
    <w:semiHidden/>
    <w:unhideWhenUsed/>
    <w:rsid w:val="00166039"/>
    <w:rPr>
      <w:b/>
      <w:bCs/>
    </w:rPr>
  </w:style>
  <w:style w:type="character" w:customStyle="1" w:styleId="CommentSubjectChar">
    <w:name w:val="Comment Subject Char"/>
    <w:basedOn w:val="CommentTextChar"/>
    <w:link w:val="CommentSubject"/>
    <w:uiPriority w:val="99"/>
    <w:semiHidden/>
    <w:rsid w:val="00166039"/>
    <w:rPr>
      <w:b/>
      <w:bCs/>
      <w:sz w:val="20"/>
      <w:szCs w:val="20"/>
    </w:rPr>
  </w:style>
  <w:style w:type="paragraph" w:styleId="BalloonText">
    <w:name w:val="Balloon Text"/>
    <w:basedOn w:val="Normal"/>
    <w:link w:val="BalloonTextChar"/>
    <w:uiPriority w:val="99"/>
    <w:semiHidden/>
    <w:unhideWhenUsed/>
    <w:rsid w:val="0016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7784">
      <w:bodyDiv w:val="1"/>
      <w:marLeft w:val="0"/>
      <w:marRight w:val="0"/>
      <w:marTop w:val="0"/>
      <w:marBottom w:val="0"/>
      <w:divBdr>
        <w:top w:val="none" w:sz="0" w:space="0" w:color="auto"/>
        <w:left w:val="none" w:sz="0" w:space="0" w:color="auto"/>
        <w:bottom w:val="none" w:sz="0" w:space="0" w:color="auto"/>
        <w:right w:val="none" w:sz="0" w:space="0" w:color="auto"/>
      </w:divBdr>
      <w:divsChild>
        <w:div w:id="1438519345">
          <w:marLeft w:val="0"/>
          <w:marRight w:val="0"/>
          <w:marTop w:val="0"/>
          <w:marBottom w:val="0"/>
          <w:divBdr>
            <w:top w:val="none" w:sz="0" w:space="0" w:color="auto"/>
            <w:left w:val="none" w:sz="0" w:space="0" w:color="auto"/>
            <w:bottom w:val="none" w:sz="0" w:space="0" w:color="auto"/>
            <w:right w:val="none" w:sz="0" w:space="0" w:color="auto"/>
          </w:divBdr>
          <w:divsChild>
            <w:div w:id="1931350820">
              <w:marLeft w:val="0"/>
              <w:marRight w:val="0"/>
              <w:marTop w:val="0"/>
              <w:marBottom w:val="0"/>
              <w:divBdr>
                <w:top w:val="none" w:sz="0" w:space="0" w:color="auto"/>
                <w:left w:val="none" w:sz="0" w:space="0" w:color="auto"/>
                <w:bottom w:val="none" w:sz="0" w:space="0" w:color="auto"/>
                <w:right w:val="none" w:sz="0" w:space="0" w:color="auto"/>
              </w:divBdr>
              <w:divsChild>
                <w:div w:id="18351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undg.org/wp-content/uploads/2018/06/UNCT-SWAP_Gender-report_Web.pdf" TargetMode="External"/><Relationship Id="rId1" Type="http://schemas.openxmlformats.org/officeDocument/2006/relationships/hyperlink" Target="https://undg.org/wp-content/uploads/2018/06/UNCT-SWAP_Gender-report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27205978DAE34B9F52D660454E7374" ma:contentTypeVersion="13" ma:contentTypeDescription="Create a new document." ma:contentTypeScope="" ma:versionID="483a80495f3dae0f4920604ed68d51ae">
  <xsd:schema xmlns:xsd="http://www.w3.org/2001/XMLSchema" xmlns:xs="http://www.w3.org/2001/XMLSchema" xmlns:p="http://schemas.microsoft.com/office/2006/metadata/properties" xmlns:ns2="64e9e09d-43a3-4192-b712-27f685b813ca" xmlns:ns3="b844176a-2e1e-4910-88cf-c2e4bfcd214e" targetNamespace="http://schemas.microsoft.com/office/2006/metadata/properties" ma:root="true" ma:fieldsID="80a383137dcd5e175467cd6df94911d7" ns2:_="" ns3:_="">
    <xsd:import namespace="64e9e09d-43a3-4192-b712-27f685b813ca"/>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9e09d-43a3-4192-b712-27f685b8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4e9e09d-43a3-4192-b712-27f685b813ca" xsi:nil="true"/>
  </documentManagement>
</p:properties>
</file>

<file path=customXml/itemProps1.xml><?xml version="1.0" encoding="utf-8"?>
<ds:datastoreItem xmlns:ds="http://schemas.openxmlformats.org/officeDocument/2006/customXml" ds:itemID="{00796A44-7FBD-4EDF-B2E6-864A241AA9DD}">
  <ds:schemaRefs>
    <ds:schemaRef ds:uri="http://schemas.openxmlformats.org/officeDocument/2006/bibliography"/>
  </ds:schemaRefs>
</ds:datastoreItem>
</file>

<file path=customXml/itemProps2.xml><?xml version="1.0" encoding="utf-8"?>
<ds:datastoreItem xmlns:ds="http://schemas.openxmlformats.org/officeDocument/2006/customXml" ds:itemID="{77D52573-A8D2-49C9-ABF2-18992CE1B1A7}"/>
</file>

<file path=customXml/itemProps3.xml><?xml version="1.0" encoding="utf-8"?>
<ds:datastoreItem xmlns:ds="http://schemas.openxmlformats.org/officeDocument/2006/customXml" ds:itemID="{7B1E4F3D-9618-48F2-98CF-B4CFC0C9BE86}"/>
</file>

<file path=customXml/itemProps4.xml><?xml version="1.0" encoding="utf-8"?>
<ds:datastoreItem xmlns:ds="http://schemas.openxmlformats.org/officeDocument/2006/customXml" ds:itemID="{0854B45F-1C91-4655-A3E5-7E1B6FCEA0DD}"/>
</file>

<file path=docProps/app.xml><?xml version="1.0" encoding="utf-8"?>
<Properties xmlns="http://schemas.openxmlformats.org/officeDocument/2006/extended-properties" xmlns:vt="http://schemas.openxmlformats.org/officeDocument/2006/docPropsVTypes">
  <Template>Normal.dotm</Template>
  <TotalTime>40</TotalTime>
  <Pages>5</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Mazzacurati</dc:creator>
  <cp:lastModifiedBy>Vittoria Gemelli</cp:lastModifiedBy>
  <cp:revision>13</cp:revision>
  <cp:lastPrinted>2019-07-17T19:04:00Z</cp:lastPrinted>
  <dcterms:created xsi:type="dcterms:W3CDTF">2019-07-18T20:18:00Z</dcterms:created>
  <dcterms:modified xsi:type="dcterms:W3CDTF">2021-07-22T13:38:00Z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0x0101008B27205978DAE34B9F52D660454E7374</vt:lpwstr>
  </property>
</Properties>
</file>