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03B8B9" w14:textId="6A269FDD" w:rsidR="00E12089" w:rsidRDefault="003721C1">
      <w:r>
        <w:rPr>
          <w:noProof/>
        </w:rPr>
        <w:drawing>
          <wp:anchor distT="0" distB="0" distL="114300" distR="114300" simplePos="0" relativeHeight="251659291" behindDoc="1" locked="0" layoutInCell="1" allowOverlap="1" wp14:anchorId="66CFC1F1" wp14:editId="7AC02467">
            <wp:simplePos x="0" y="0"/>
            <wp:positionH relativeFrom="column">
              <wp:posOffset>-387350</wp:posOffset>
            </wp:positionH>
            <wp:positionV relativeFrom="paragraph">
              <wp:posOffset>-431801</wp:posOffset>
            </wp:positionV>
            <wp:extent cx="2616200" cy="1482513"/>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0450" cy="1496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2089">
        <w:t xml:space="preserve"> </w:t>
      </w:r>
    </w:p>
    <w:sdt>
      <w:sdtPr>
        <w:id w:val="-1528860720"/>
        <w:docPartObj>
          <w:docPartGallery w:val="Cover Pages"/>
          <w:docPartUnique/>
        </w:docPartObj>
      </w:sdtPr>
      <w:sdtContent>
        <w:p w14:paraId="05449DAE" w14:textId="49866A49" w:rsidR="00090DD7" w:rsidRPr="00F22F32" w:rsidRDefault="00090DD7"/>
        <w:p w14:paraId="1B4B816E" w14:textId="26E696EF" w:rsidR="00090DD7" w:rsidRPr="00F22F32" w:rsidRDefault="00A70A9F">
          <w:r w:rsidRPr="00F22F32">
            <w:rPr>
              <w:noProof/>
            </w:rPr>
            <mc:AlternateContent>
              <mc:Choice Requires="wpg">
                <w:drawing>
                  <wp:anchor distT="0" distB="0" distL="114300" distR="114300" simplePos="0" relativeHeight="251658240" behindDoc="1" locked="0" layoutInCell="1" allowOverlap="1" wp14:anchorId="3461BE28" wp14:editId="4C7B47BB">
                    <wp:simplePos x="0" y="0"/>
                    <wp:positionH relativeFrom="page">
                      <wp:posOffset>457200</wp:posOffset>
                    </wp:positionH>
                    <wp:positionV relativeFrom="page">
                      <wp:posOffset>1831340</wp:posOffset>
                    </wp:positionV>
                    <wp:extent cx="6864350" cy="7748905"/>
                    <wp:effectExtent l="0" t="0" r="2540" b="4445"/>
                    <wp:wrapNone/>
                    <wp:docPr id="193" name="Group 193"/>
                    <wp:cNvGraphicFramePr/>
                    <a:graphic xmlns:a="http://schemas.openxmlformats.org/drawingml/2006/main">
                      <a:graphicData uri="http://schemas.microsoft.com/office/word/2010/wordprocessingGroup">
                        <wpg:wgp>
                          <wpg:cNvGrpSpPr/>
                          <wpg:grpSpPr>
                            <a:xfrm>
                              <a:off x="0" y="0"/>
                              <a:ext cx="6864350" cy="7748905"/>
                              <a:chOff x="0" y="1374487"/>
                              <a:chExt cx="6864812" cy="7749041"/>
                            </a:xfrm>
                          </wpg:grpSpPr>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8A4BA8" w14:textId="00C218F9" w:rsidR="00822BB4" w:rsidRDefault="00822BB4">
                                  <w:pPr>
                                    <w:pStyle w:val="NoSpacing"/>
                                    <w:spacing w:before="120"/>
                                    <w:jc w:val="center"/>
                                    <w:rPr>
                                      <w:color w:val="FFFFFF" w:themeColor="background1"/>
                                    </w:rPr>
                                  </w:pP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Content>
                                      <w:r>
                                        <w:rPr>
                                          <w:caps/>
                                          <w:color w:val="FFFFFF" w:themeColor="background1"/>
                                        </w:rPr>
                                        <w:t>United nations mozambuqye</w:t>
                                      </w:r>
                                    </w:sdtContent>
                                  </w:sdt>
                                  <w:r>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Content>
                                      <w:r>
                                        <w:rPr>
                                          <w:color w:val="FFFFFF" w:themeColor="background1"/>
                                        </w:rPr>
                                        <w:t xml:space="preserve">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12" y="1374487"/>
                                <a:ext cx="6858000" cy="2524514"/>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251CDF" w14:textId="4C3E3590" w:rsidR="00822BB4" w:rsidRPr="00E05B0F" w:rsidRDefault="00822BB4" w:rsidP="00090DD7">
                                  <w:pPr>
                                    <w:spacing w:before="330" w:line="206" w:lineRule="auto"/>
                                    <w:ind w:left="90" w:right="61"/>
                                    <w:rPr>
                                      <w:b/>
                                      <w:i/>
                                      <w:color w:val="00B0F0"/>
                                      <w:sz w:val="90"/>
                                      <w:szCs w:val="90"/>
                                    </w:rPr>
                                  </w:pPr>
                                  <w:r w:rsidRPr="00E05B0F">
                                    <w:rPr>
                                      <w:b/>
                                      <w:i/>
                                      <w:color w:val="00B0F0"/>
                                      <w:sz w:val="90"/>
                                      <w:szCs w:val="90"/>
                                    </w:rPr>
                                    <w:t>2020 UN Mozambique C</w:t>
                                  </w:r>
                                  <w:r w:rsidRPr="00E05B0F">
                                    <w:rPr>
                                      <w:b/>
                                      <w:i/>
                                      <w:color w:val="00B0F0"/>
                                      <w:spacing w:val="2"/>
                                      <w:sz w:val="90"/>
                                      <w:szCs w:val="90"/>
                                    </w:rPr>
                                    <w:t>ountry</w:t>
                                  </w:r>
                                  <w:r w:rsidRPr="00E05B0F">
                                    <w:rPr>
                                      <w:b/>
                                      <w:i/>
                                      <w:color w:val="00B0F0"/>
                                      <w:spacing w:val="-209"/>
                                      <w:sz w:val="90"/>
                                      <w:szCs w:val="90"/>
                                    </w:rPr>
                                    <w:t xml:space="preserve"> </w:t>
                                  </w:r>
                                  <w:r w:rsidRPr="00E05B0F">
                                    <w:rPr>
                                      <w:b/>
                                      <w:i/>
                                      <w:color w:val="00B0F0"/>
                                      <w:spacing w:val="-3"/>
                                      <w:sz w:val="90"/>
                                      <w:szCs w:val="90"/>
                                    </w:rPr>
                                    <w:t xml:space="preserve">Results </w:t>
                                  </w:r>
                                  <w:r w:rsidRPr="00E05B0F">
                                    <w:rPr>
                                      <w:b/>
                                      <w:i/>
                                      <w:color w:val="00B0F0"/>
                                      <w:spacing w:val="7"/>
                                      <w:sz w:val="90"/>
                                      <w:szCs w:val="90"/>
                                    </w:rPr>
                                    <w:t>Report</w:t>
                                  </w:r>
                                </w:p>
                                <w:p w14:paraId="448E4568" w14:textId="1218CDCC" w:rsidR="00822BB4" w:rsidRPr="00090DD7" w:rsidRDefault="00822BB4">
                                  <w:pPr>
                                    <w:pStyle w:val="NoSpacing"/>
                                    <w:jc w:val="center"/>
                                    <w:rPr>
                                      <w:rFonts w:asciiTheme="majorHAnsi" w:eastAsiaTheme="majorEastAsia" w:hAnsiTheme="majorHAnsi" w:cstheme="majorBidi"/>
                                      <w:caps/>
                                      <w:color w:val="4472C4" w:themeColor="accent1"/>
                                      <w:sz w:val="40"/>
                                      <w:szCs w:val="40"/>
                                    </w:rPr>
                                  </w:pP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0</wp14:pctHeight>
                    </wp14:sizeRelV>
                  </wp:anchor>
                </w:drawing>
              </mc:Choice>
              <mc:Fallback>
                <w:pict>
                  <v:group w14:anchorId="3461BE28" id="Group 193" o:spid="_x0000_s1026" style="position:absolute;margin-left:36pt;margin-top:144.2pt;width:540.5pt;height:610.15pt;z-index:-251658240;mso-width-percent:882;mso-position-horizontal-relative:page;mso-position-vertical-relative:page;mso-width-percent:882" coordorigin=",13744" coordsize="68648,77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">
                    <v:rect id="Rectangle 195" o:spid="_x0000_s1027"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4472c4 [3204]" stroked="f" strokeweight="1pt">
                      <v:textbox inset="36pt,57.6pt,36pt,36pt">
                        <w:txbxContent>
                          <w:p w14:paraId="4C8A4BA8" w14:textId="00C218F9" w:rsidR="00822BB4" w:rsidRDefault="00822BB4">
                            <w:pPr>
                              <w:pStyle w:val="NoSpacing"/>
                              <w:spacing w:before="120"/>
                              <w:jc w:val="center"/>
                              <w:rPr>
                                <w:color w:val="FFFFFF" w:themeColor="background1"/>
                              </w:rPr>
                            </w:pP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Content>
                                <w:r>
                                  <w:rPr>
                                    <w:caps/>
                                    <w:color w:val="FFFFFF" w:themeColor="background1"/>
                                  </w:rPr>
                                  <w:t>United nations mozambuqye</w:t>
                                </w:r>
                              </w:sdtContent>
                            </w:sdt>
                            <w:r>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Content>
                                <w:r>
                                  <w:rPr>
                                    <w:color w:val="FFFFFF" w:themeColor="background1"/>
                                  </w:rPr>
                                  <w:t xml:space="preserve">     </w:t>
                                </w:r>
                              </w:sdtContent>
                            </w:sdt>
                          </w:p>
                        </w:txbxContent>
                      </v:textbox>
                    </v:rect>
                    <v:shapetype id="_x0000_t202" coordsize="21600,21600" o:spt="202" path="m,l,21600r21600,l21600,xe">
                      <v:stroke joinstyle="miter"/>
                      <v:path gradientshapeok="t" o:connecttype="rect"/>
                    </v:shapetype>
                    <v:shape id="Text Box 196" o:spid="_x0000_s1028" type="#_x0000_t202" style="position:absolute;left:68;top:13744;width:68580;height:252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p w14:paraId="25251CDF" w14:textId="4C3E3590" w:rsidR="00822BB4" w:rsidRPr="00E05B0F" w:rsidRDefault="00822BB4" w:rsidP="00090DD7">
                            <w:pPr>
                              <w:spacing w:before="330" w:line="206" w:lineRule="auto"/>
                              <w:ind w:left="90" w:right="61"/>
                              <w:rPr>
                                <w:b/>
                                <w:i/>
                                <w:color w:val="00B0F0"/>
                                <w:sz w:val="90"/>
                                <w:szCs w:val="90"/>
                              </w:rPr>
                            </w:pPr>
                            <w:r w:rsidRPr="00E05B0F">
                              <w:rPr>
                                <w:b/>
                                <w:i/>
                                <w:color w:val="00B0F0"/>
                                <w:sz w:val="90"/>
                                <w:szCs w:val="90"/>
                              </w:rPr>
                              <w:t>2020 UN Mozambique C</w:t>
                            </w:r>
                            <w:r w:rsidRPr="00E05B0F">
                              <w:rPr>
                                <w:b/>
                                <w:i/>
                                <w:color w:val="00B0F0"/>
                                <w:spacing w:val="2"/>
                                <w:sz w:val="90"/>
                                <w:szCs w:val="90"/>
                              </w:rPr>
                              <w:t>ountry</w:t>
                            </w:r>
                            <w:r w:rsidRPr="00E05B0F">
                              <w:rPr>
                                <w:b/>
                                <w:i/>
                                <w:color w:val="00B0F0"/>
                                <w:spacing w:val="-209"/>
                                <w:sz w:val="90"/>
                                <w:szCs w:val="90"/>
                              </w:rPr>
                              <w:t xml:space="preserve"> </w:t>
                            </w:r>
                            <w:r w:rsidRPr="00E05B0F">
                              <w:rPr>
                                <w:b/>
                                <w:i/>
                                <w:color w:val="00B0F0"/>
                                <w:spacing w:val="-3"/>
                                <w:sz w:val="90"/>
                                <w:szCs w:val="90"/>
                              </w:rPr>
                              <w:t xml:space="preserve">Results </w:t>
                            </w:r>
                            <w:r w:rsidRPr="00E05B0F">
                              <w:rPr>
                                <w:b/>
                                <w:i/>
                                <w:color w:val="00B0F0"/>
                                <w:spacing w:val="7"/>
                                <w:sz w:val="90"/>
                                <w:szCs w:val="90"/>
                              </w:rPr>
                              <w:t>Report</w:t>
                            </w:r>
                          </w:p>
                          <w:p w14:paraId="448E4568" w14:textId="1218CDCC" w:rsidR="00822BB4" w:rsidRPr="00090DD7" w:rsidRDefault="00822BB4">
                            <w:pPr>
                              <w:pStyle w:val="NoSpacing"/>
                              <w:jc w:val="center"/>
                              <w:rPr>
                                <w:rFonts w:asciiTheme="majorHAnsi" w:eastAsiaTheme="majorEastAsia" w:hAnsiTheme="majorHAnsi" w:cstheme="majorBidi"/>
                                <w:caps/>
                                <w:color w:val="4472C4" w:themeColor="accent1"/>
                                <w:sz w:val="40"/>
                                <w:szCs w:val="40"/>
                              </w:rPr>
                            </w:pPr>
                          </w:p>
                        </w:txbxContent>
                      </v:textbox>
                    </v:shape>
                    <w10:wrap anchorx="page" anchory="page"/>
                  </v:group>
                </w:pict>
              </mc:Fallback>
            </mc:AlternateContent>
          </w:r>
          <w:r w:rsidR="00090DD7" w:rsidRPr="00F22F32">
            <w:br w:type="page"/>
          </w:r>
        </w:p>
      </w:sdtContent>
    </w:sdt>
    <w:sdt>
      <w:sdtPr>
        <w:rPr>
          <w:rFonts w:ascii="Gill Sans MT" w:eastAsia="Gill Sans MT" w:hAnsi="Gill Sans MT" w:cs="Gill Sans MT"/>
          <w:color w:val="auto"/>
          <w:sz w:val="22"/>
          <w:szCs w:val="22"/>
          <w:lang w:bidi="en-US"/>
        </w:rPr>
        <w:id w:val="668829705"/>
        <w:docPartObj>
          <w:docPartGallery w:val="Table of Contents"/>
          <w:docPartUnique/>
        </w:docPartObj>
      </w:sdtPr>
      <w:sdtEndPr>
        <w:rPr>
          <w:b/>
          <w:bCs/>
          <w:noProof/>
        </w:rPr>
      </w:sdtEndPr>
      <w:sdtContent>
        <w:p w14:paraId="080496CA" w14:textId="4433D7E7" w:rsidR="009C68A6" w:rsidRPr="00F22F32" w:rsidRDefault="009C68A6">
          <w:pPr>
            <w:pStyle w:val="TOCHeading"/>
            <w:rPr>
              <w:color w:val="auto"/>
            </w:rPr>
          </w:pPr>
          <w:r w:rsidRPr="00F22F32">
            <w:rPr>
              <w:color w:val="auto"/>
            </w:rPr>
            <w:t>Contents</w:t>
          </w:r>
        </w:p>
        <w:p w14:paraId="7699B9CE" w14:textId="514AE485" w:rsidR="007D537C" w:rsidRDefault="009C68A6">
          <w:pPr>
            <w:pStyle w:val="TOC1"/>
            <w:tabs>
              <w:tab w:val="right" w:leader="dot" w:pos="9350"/>
            </w:tabs>
            <w:rPr>
              <w:rFonts w:asciiTheme="minorHAnsi" w:eastAsiaTheme="minorEastAsia" w:hAnsiTheme="minorHAnsi" w:cstheme="minorBidi"/>
              <w:noProof/>
              <w:lang w:bidi="ar-SA"/>
            </w:rPr>
          </w:pPr>
          <w:r w:rsidRPr="00F22F32">
            <w:fldChar w:fldCharType="begin"/>
          </w:r>
          <w:r w:rsidRPr="00F22F32">
            <w:instrText xml:space="preserve"> TOC \o "1-3" \h \z \u </w:instrText>
          </w:r>
          <w:r w:rsidRPr="00F22F32">
            <w:fldChar w:fldCharType="separate"/>
          </w:r>
          <w:hyperlink w:anchor="_Toc71207059" w:history="1">
            <w:r w:rsidR="007D537C" w:rsidRPr="006A0EFB">
              <w:rPr>
                <w:rStyle w:val="Hyperlink"/>
                <w:b/>
                <w:bCs/>
                <w:noProof/>
                <w:w w:val="95"/>
              </w:rPr>
              <w:t>Acronyms</w:t>
            </w:r>
            <w:r w:rsidR="007D537C">
              <w:rPr>
                <w:noProof/>
                <w:webHidden/>
              </w:rPr>
              <w:tab/>
            </w:r>
            <w:r w:rsidR="007D537C">
              <w:rPr>
                <w:noProof/>
                <w:webHidden/>
              </w:rPr>
              <w:fldChar w:fldCharType="begin"/>
            </w:r>
            <w:r w:rsidR="007D537C">
              <w:rPr>
                <w:noProof/>
                <w:webHidden/>
              </w:rPr>
              <w:instrText xml:space="preserve"> PAGEREF _Toc71207059 \h </w:instrText>
            </w:r>
            <w:r w:rsidR="007D537C">
              <w:rPr>
                <w:noProof/>
                <w:webHidden/>
              </w:rPr>
            </w:r>
            <w:r w:rsidR="007D537C">
              <w:rPr>
                <w:noProof/>
                <w:webHidden/>
              </w:rPr>
              <w:fldChar w:fldCharType="separate"/>
            </w:r>
            <w:r w:rsidR="007D537C">
              <w:rPr>
                <w:noProof/>
                <w:webHidden/>
              </w:rPr>
              <w:t>2</w:t>
            </w:r>
            <w:r w:rsidR="007D537C">
              <w:rPr>
                <w:noProof/>
                <w:webHidden/>
              </w:rPr>
              <w:fldChar w:fldCharType="end"/>
            </w:r>
          </w:hyperlink>
        </w:p>
        <w:p w14:paraId="027A1C49" w14:textId="1B3765A0" w:rsidR="007D537C" w:rsidRDefault="00822BB4">
          <w:pPr>
            <w:pStyle w:val="TOC1"/>
            <w:tabs>
              <w:tab w:val="right" w:leader="dot" w:pos="9350"/>
            </w:tabs>
            <w:rPr>
              <w:rFonts w:asciiTheme="minorHAnsi" w:eastAsiaTheme="minorEastAsia" w:hAnsiTheme="minorHAnsi" w:cstheme="minorBidi"/>
              <w:noProof/>
              <w:lang w:bidi="ar-SA"/>
            </w:rPr>
          </w:pPr>
          <w:hyperlink w:anchor="_Toc71207060" w:history="1">
            <w:r w:rsidR="007D537C" w:rsidRPr="006A0EFB">
              <w:rPr>
                <w:rStyle w:val="Hyperlink"/>
                <w:b/>
                <w:bCs/>
                <w:noProof/>
                <w:w w:val="95"/>
              </w:rPr>
              <w:t>Foreword</w:t>
            </w:r>
            <w:r w:rsidR="007D537C">
              <w:rPr>
                <w:noProof/>
                <w:webHidden/>
              </w:rPr>
              <w:tab/>
            </w:r>
            <w:r w:rsidR="007D537C">
              <w:rPr>
                <w:noProof/>
                <w:webHidden/>
              </w:rPr>
              <w:fldChar w:fldCharType="begin"/>
            </w:r>
            <w:r w:rsidR="007D537C">
              <w:rPr>
                <w:noProof/>
                <w:webHidden/>
              </w:rPr>
              <w:instrText xml:space="preserve"> PAGEREF _Toc71207060 \h </w:instrText>
            </w:r>
            <w:r w:rsidR="007D537C">
              <w:rPr>
                <w:noProof/>
                <w:webHidden/>
              </w:rPr>
            </w:r>
            <w:r w:rsidR="007D537C">
              <w:rPr>
                <w:noProof/>
                <w:webHidden/>
              </w:rPr>
              <w:fldChar w:fldCharType="separate"/>
            </w:r>
            <w:r w:rsidR="007D537C">
              <w:rPr>
                <w:noProof/>
                <w:webHidden/>
              </w:rPr>
              <w:t>4</w:t>
            </w:r>
            <w:r w:rsidR="007D537C">
              <w:rPr>
                <w:noProof/>
                <w:webHidden/>
              </w:rPr>
              <w:fldChar w:fldCharType="end"/>
            </w:r>
          </w:hyperlink>
        </w:p>
        <w:p w14:paraId="219BC728" w14:textId="77836C7A" w:rsidR="007D537C" w:rsidRDefault="00822BB4">
          <w:pPr>
            <w:pStyle w:val="TOC1"/>
            <w:tabs>
              <w:tab w:val="right" w:leader="dot" w:pos="9350"/>
            </w:tabs>
            <w:rPr>
              <w:rFonts w:asciiTheme="minorHAnsi" w:eastAsiaTheme="minorEastAsia" w:hAnsiTheme="minorHAnsi" w:cstheme="minorBidi"/>
              <w:noProof/>
              <w:lang w:bidi="ar-SA"/>
            </w:rPr>
          </w:pPr>
          <w:hyperlink w:anchor="_Toc71207061" w:history="1">
            <w:r w:rsidR="007D537C" w:rsidRPr="006A0EFB">
              <w:rPr>
                <w:rStyle w:val="Hyperlink"/>
                <w:b/>
                <w:bCs/>
                <w:noProof/>
                <w:w w:val="95"/>
              </w:rPr>
              <w:t>UN Country Team</w:t>
            </w:r>
            <w:r w:rsidR="007D537C">
              <w:rPr>
                <w:noProof/>
                <w:webHidden/>
              </w:rPr>
              <w:tab/>
            </w:r>
            <w:r w:rsidR="007D537C">
              <w:rPr>
                <w:noProof/>
                <w:webHidden/>
              </w:rPr>
              <w:fldChar w:fldCharType="begin"/>
            </w:r>
            <w:r w:rsidR="007D537C">
              <w:rPr>
                <w:noProof/>
                <w:webHidden/>
              </w:rPr>
              <w:instrText xml:space="preserve"> PAGEREF _Toc71207061 \h </w:instrText>
            </w:r>
            <w:r w:rsidR="007D537C">
              <w:rPr>
                <w:noProof/>
                <w:webHidden/>
              </w:rPr>
            </w:r>
            <w:r w:rsidR="007D537C">
              <w:rPr>
                <w:noProof/>
                <w:webHidden/>
              </w:rPr>
              <w:fldChar w:fldCharType="separate"/>
            </w:r>
            <w:r w:rsidR="007D537C">
              <w:rPr>
                <w:noProof/>
                <w:webHidden/>
              </w:rPr>
              <w:t>5</w:t>
            </w:r>
            <w:r w:rsidR="007D537C">
              <w:rPr>
                <w:noProof/>
                <w:webHidden/>
              </w:rPr>
              <w:fldChar w:fldCharType="end"/>
            </w:r>
          </w:hyperlink>
        </w:p>
        <w:p w14:paraId="70340A92" w14:textId="31AD273D" w:rsidR="007D537C" w:rsidRDefault="00822BB4">
          <w:pPr>
            <w:pStyle w:val="TOC2"/>
            <w:tabs>
              <w:tab w:val="right" w:leader="dot" w:pos="9350"/>
            </w:tabs>
            <w:rPr>
              <w:rFonts w:asciiTheme="minorHAnsi" w:eastAsiaTheme="minorEastAsia" w:hAnsiTheme="minorHAnsi" w:cstheme="minorBidi"/>
              <w:noProof/>
              <w:lang w:bidi="ar-SA"/>
            </w:rPr>
          </w:pPr>
          <w:hyperlink w:anchor="_Toc71207062" w:history="1">
            <w:r w:rsidR="007D537C" w:rsidRPr="006A0EFB">
              <w:rPr>
                <w:rStyle w:val="Hyperlink"/>
                <w:noProof/>
              </w:rPr>
              <w:t>Resident Agencies</w:t>
            </w:r>
            <w:r w:rsidR="007D537C">
              <w:rPr>
                <w:noProof/>
                <w:webHidden/>
              </w:rPr>
              <w:tab/>
            </w:r>
            <w:r w:rsidR="007D537C">
              <w:rPr>
                <w:noProof/>
                <w:webHidden/>
              </w:rPr>
              <w:fldChar w:fldCharType="begin"/>
            </w:r>
            <w:r w:rsidR="007D537C">
              <w:rPr>
                <w:noProof/>
                <w:webHidden/>
              </w:rPr>
              <w:instrText xml:space="preserve"> PAGEREF _Toc71207062 \h </w:instrText>
            </w:r>
            <w:r w:rsidR="007D537C">
              <w:rPr>
                <w:noProof/>
                <w:webHidden/>
              </w:rPr>
            </w:r>
            <w:r w:rsidR="007D537C">
              <w:rPr>
                <w:noProof/>
                <w:webHidden/>
              </w:rPr>
              <w:fldChar w:fldCharType="separate"/>
            </w:r>
            <w:r w:rsidR="007D537C">
              <w:rPr>
                <w:noProof/>
                <w:webHidden/>
              </w:rPr>
              <w:t>5</w:t>
            </w:r>
            <w:r w:rsidR="007D537C">
              <w:rPr>
                <w:noProof/>
                <w:webHidden/>
              </w:rPr>
              <w:fldChar w:fldCharType="end"/>
            </w:r>
          </w:hyperlink>
        </w:p>
        <w:p w14:paraId="178666FF" w14:textId="187E59ED" w:rsidR="007D537C" w:rsidRDefault="00822BB4">
          <w:pPr>
            <w:pStyle w:val="TOC2"/>
            <w:tabs>
              <w:tab w:val="right" w:leader="dot" w:pos="9350"/>
            </w:tabs>
            <w:rPr>
              <w:rFonts w:asciiTheme="minorHAnsi" w:eastAsiaTheme="minorEastAsia" w:hAnsiTheme="minorHAnsi" w:cstheme="minorBidi"/>
              <w:noProof/>
              <w:lang w:bidi="ar-SA"/>
            </w:rPr>
          </w:pPr>
          <w:hyperlink w:anchor="_Toc71207063" w:history="1">
            <w:r w:rsidR="007D537C" w:rsidRPr="006A0EFB">
              <w:rPr>
                <w:rStyle w:val="Hyperlink"/>
                <w:noProof/>
              </w:rPr>
              <w:t>Non-resident Agencies</w:t>
            </w:r>
            <w:r w:rsidR="007D537C">
              <w:rPr>
                <w:noProof/>
                <w:webHidden/>
              </w:rPr>
              <w:tab/>
            </w:r>
            <w:r w:rsidR="007D537C">
              <w:rPr>
                <w:noProof/>
                <w:webHidden/>
              </w:rPr>
              <w:fldChar w:fldCharType="begin"/>
            </w:r>
            <w:r w:rsidR="007D537C">
              <w:rPr>
                <w:noProof/>
                <w:webHidden/>
              </w:rPr>
              <w:instrText xml:space="preserve"> PAGEREF _Toc71207063 \h </w:instrText>
            </w:r>
            <w:r w:rsidR="007D537C">
              <w:rPr>
                <w:noProof/>
                <w:webHidden/>
              </w:rPr>
            </w:r>
            <w:r w:rsidR="007D537C">
              <w:rPr>
                <w:noProof/>
                <w:webHidden/>
              </w:rPr>
              <w:fldChar w:fldCharType="separate"/>
            </w:r>
            <w:r w:rsidR="007D537C">
              <w:rPr>
                <w:noProof/>
                <w:webHidden/>
              </w:rPr>
              <w:t>5</w:t>
            </w:r>
            <w:r w:rsidR="007D537C">
              <w:rPr>
                <w:noProof/>
                <w:webHidden/>
              </w:rPr>
              <w:fldChar w:fldCharType="end"/>
            </w:r>
          </w:hyperlink>
        </w:p>
        <w:p w14:paraId="1A2A041B" w14:textId="4524BDE4" w:rsidR="007D537C" w:rsidRDefault="00822BB4">
          <w:pPr>
            <w:pStyle w:val="TOC1"/>
            <w:tabs>
              <w:tab w:val="right" w:leader="dot" w:pos="9350"/>
            </w:tabs>
            <w:rPr>
              <w:rFonts w:asciiTheme="minorHAnsi" w:eastAsiaTheme="minorEastAsia" w:hAnsiTheme="minorHAnsi" w:cstheme="minorBidi"/>
              <w:noProof/>
              <w:lang w:bidi="ar-SA"/>
            </w:rPr>
          </w:pPr>
          <w:hyperlink w:anchor="_Toc71207064" w:history="1">
            <w:r w:rsidR="007D537C" w:rsidRPr="006A0EFB">
              <w:rPr>
                <w:rStyle w:val="Hyperlink"/>
                <w:b/>
                <w:bCs/>
                <w:noProof/>
                <w:w w:val="95"/>
              </w:rPr>
              <w:t>Key Development Partners of the UN development system in the country</w:t>
            </w:r>
            <w:r w:rsidR="007D537C">
              <w:rPr>
                <w:noProof/>
                <w:webHidden/>
              </w:rPr>
              <w:tab/>
            </w:r>
            <w:r w:rsidR="007D537C">
              <w:rPr>
                <w:noProof/>
                <w:webHidden/>
              </w:rPr>
              <w:fldChar w:fldCharType="begin"/>
            </w:r>
            <w:r w:rsidR="007D537C">
              <w:rPr>
                <w:noProof/>
                <w:webHidden/>
              </w:rPr>
              <w:instrText xml:space="preserve"> PAGEREF _Toc71207064 \h </w:instrText>
            </w:r>
            <w:r w:rsidR="007D537C">
              <w:rPr>
                <w:noProof/>
                <w:webHidden/>
              </w:rPr>
            </w:r>
            <w:r w:rsidR="007D537C">
              <w:rPr>
                <w:noProof/>
                <w:webHidden/>
              </w:rPr>
              <w:fldChar w:fldCharType="separate"/>
            </w:r>
            <w:r w:rsidR="007D537C">
              <w:rPr>
                <w:noProof/>
                <w:webHidden/>
              </w:rPr>
              <w:t>6</w:t>
            </w:r>
            <w:r w:rsidR="007D537C">
              <w:rPr>
                <w:noProof/>
                <w:webHidden/>
              </w:rPr>
              <w:fldChar w:fldCharType="end"/>
            </w:r>
          </w:hyperlink>
        </w:p>
        <w:p w14:paraId="58EC2D83" w14:textId="6880E8C9" w:rsidR="007D537C" w:rsidRDefault="00822BB4">
          <w:pPr>
            <w:pStyle w:val="TOC1"/>
            <w:tabs>
              <w:tab w:val="left" w:pos="440"/>
              <w:tab w:val="right" w:leader="dot" w:pos="9350"/>
            </w:tabs>
            <w:rPr>
              <w:rFonts w:asciiTheme="minorHAnsi" w:eastAsiaTheme="minorEastAsia" w:hAnsiTheme="minorHAnsi" w:cstheme="minorBidi"/>
              <w:noProof/>
              <w:lang w:bidi="ar-SA"/>
            </w:rPr>
          </w:pPr>
          <w:hyperlink w:anchor="_Toc71207065" w:history="1">
            <w:r w:rsidR="007D537C" w:rsidRPr="006A0EFB">
              <w:rPr>
                <w:rStyle w:val="Hyperlink"/>
                <w:rFonts w:cstheme="majorHAnsi"/>
                <w:b/>
                <w:bCs/>
                <w:noProof/>
                <w:w w:val="95"/>
              </w:rPr>
              <w:t>1.</w:t>
            </w:r>
            <w:r w:rsidR="007D537C">
              <w:rPr>
                <w:rFonts w:asciiTheme="minorHAnsi" w:eastAsiaTheme="minorEastAsia" w:hAnsiTheme="minorHAnsi" w:cstheme="minorBidi"/>
                <w:noProof/>
                <w:lang w:bidi="ar-SA"/>
              </w:rPr>
              <w:tab/>
            </w:r>
            <w:r w:rsidR="007D537C" w:rsidRPr="006A0EFB">
              <w:rPr>
                <w:rStyle w:val="Hyperlink"/>
                <w:rFonts w:cstheme="majorHAnsi"/>
                <w:b/>
                <w:bCs/>
                <w:noProof/>
                <w:w w:val="95"/>
              </w:rPr>
              <w:t>CHAPTER 1</w:t>
            </w:r>
            <w:r w:rsidR="007D537C">
              <w:rPr>
                <w:noProof/>
                <w:webHidden/>
              </w:rPr>
              <w:tab/>
            </w:r>
            <w:r w:rsidR="007D537C">
              <w:rPr>
                <w:noProof/>
                <w:webHidden/>
              </w:rPr>
              <w:fldChar w:fldCharType="begin"/>
            </w:r>
            <w:r w:rsidR="007D537C">
              <w:rPr>
                <w:noProof/>
                <w:webHidden/>
              </w:rPr>
              <w:instrText xml:space="preserve"> PAGEREF _Toc71207065 \h </w:instrText>
            </w:r>
            <w:r w:rsidR="007D537C">
              <w:rPr>
                <w:noProof/>
                <w:webHidden/>
              </w:rPr>
            </w:r>
            <w:r w:rsidR="007D537C">
              <w:rPr>
                <w:noProof/>
                <w:webHidden/>
              </w:rPr>
              <w:fldChar w:fldCharType="separate"/>
            </w:r>
            <w:r w:rsidR="007D537C">
              <w:rPr>
                <w:noProof/>
                <w:webHidden/>
              </w:rPr>
              <w:t>7</w:t>
            </w:r>
            <w:r w:rsidR="007D537C">
              <w:rPr>
                <w:noProof/>
                <w:webHidden/>
              </w:rPr>
              <w:fldChar w:fldCharType="end"/>
            </w:r>
          </w:hyperlink>
        </w:p>
        <w:p w14:paraId="779AF325" w14:textId="15C9200B" w:rsidR="007D537C" w:rsidRDefault="00822BB4">
          <w:pPr>
            <w:pStyle w:val="TOC2"/>
            <w:tabs>
              <w:tab w:val="left" w:pos="880"/>
              <w:tab w:val="right" w:leader="dot" w:pos="9350"/>
            </w:tabs>
            <w:rPr>
              <w:rFonts w:asciiTheme="minorHAnsi" w:eastAsiaTheme="minorEastAsia" w:hAnsiTheme="minorHAnsi" w:cstheme="minorBidi"/>
              <w:noProof/>
              <w:lang w:bidi="ar-SA"/>
            </w:rPr>
          </w:pPr>
          <w:hyperlink w:anchor="_Toc71207066" w:history="1">
            <w:r w:rsidR="007D537C" w:rsidRPr="006A0EFB">
              <w:rPr>
                <w:rStyle w:val="Hyperlink"/>
                <w:rFonts w:asciiTheme="majorHAnsi" w:hAnsiTheme="majorHAnsi" w:cstheme="majorHAnsi"/>
                <w:noProof/>
              </w:rPr>
              <w:t>1.1.</w:t>
            </w:r>
            <w:r w:rsidR="007D537C">
              <w:rPr>
                <w:rFonts w:asciiTheme="minorHAnsi" w:eastAsiaTheme="minorEastAsia" w:hAnsiTheme="minorHAnsi" w:cstheme="minorBidi"/>
                <w:noProof/>
                <w:lang w:bidi="ar-SA"/>
              </w:rPr>
              <w:tab/>
            </w:r>
            <w:r w:rsidR="007D537C" w:rsidRPr="006A0EFB">
              <w:rPr>
                <w:rStyle w:val="Hyperlink"/>
                <w:rFonts w:asciiTheme="majorHAnsi" w:hAnsiTheme="majorHAnsi" w:cstheme="majorHAnsi"/>
                <w:noProof/>
                <w:spacing w:val="-5"/>
              </w:rPr>
              <w:t>Key developments in the country and regional context</w:t>
            </w:r>
            <w:r w:rsidR="007D537C">
              <w:rPr>
                <w:noProof/>
                <w:webHidden/>
              </w:rPr>
              <w:tab/>
            </w:r>
            <w:r w:rsidR="007D537C">
              <w:rPr>
                <w:noProof/>
                <w:webHidden/>
              </w:rPr>
              <w:fldChar w:fldCharType="begin"/>
            </w:r>
            <w:r w:rsidR="007D537C">
              <w:rPr>
                <w:noProof/>
                <w:webHidden/>
              </w:rPr>
              <w:instrText xml:space="preserve"> PAGEREF _Toc71207066 \h </w:instrText>
            </w:r>
            <w:r w:rsidR="007D537C">
              <w:rPr>
                <w:noProof/>
                <w:webHidden/>
              </w:rPr>
            </w:r>
            <w:r w:rsidR="007D537C">
              <w:rPr>
                <w:noProof/>
                <w:webHidden/>
              </w:rPr>
              <w:fldChar w:fldCharType="separate"/>
            </w:r>
            <w:r w:rsidR="007D537C">
              <w:rPr>
                <w:noProof/>
                <w:webHidden/>
              </w:rPr>
              <w:t>7</w:t>
            </w:r>
            <w:r w:rsidR="007D537C">
              <w:rPr>
                <w:noProof/>
                <w:webHidden/>
              </w:rPr>
              <w:fldChar w:fldCharType="end"/>
            </w:r>
          </w:hyperlink>
        </w:p>
        <w:p w14:paraId="0E6EDC9D" w14:textId="4D3E50FC" w:rsidR="007D537C" w:rsidRDefault="00822BB4">
          <w:pPr>
            <w:pStyle w:val="TOC1"/>
            <w:tabs>
              <w:tab w:val="left" w:pos="440"/>
              <w:tab w:val="right" w:leader="dot" w:pos="9350"/>
            </w:tabs>
            <w:rPr>
              <w:rFonts w:asciiTheme="minorHAnsi" w:eastAsiaTheme="minorEastAsia" w:hAnsiTheme="minorHAnsi" w:cstheme="minorBidi"/>
              <w:noProof/>
              <w:lang w:bidi="ar-SA"/>
            </w:rPr>
          </w:pPr>
          <w:hyperlink w:anchor="_Toc71207067" w:history="1">
            <w:r w:rsidR="007D537C" w:rsidRPr="006A0EFB">
              <w:rPr>
                <w:rStyle w:val="Hyperlink"/>
                <w:rFonts w:cstheme="majorHAnsi"/>
                <w:b/>
                <w:bCs/>
                <w:noProof/>
                <w:w w:val="95"/>
              </w:rPr>
              <w:t>2.</w:t>
            </w:r>
            <w:r w:rsidR="007D537C">
              <w:rPr>
                <w:rFonts w:asciiTheme="minorHAnsi" w:eastAsiaTheme="minorEastAsia" w:hAnsiTheme="minorHAnsi" w:cstheme="minorBidi"/>
                <w:noProof/>
                <w:lang w:bidi="ar-SA"/>
              </w:rPr>
              <w:tab/>
            </w:r>
            <w:r w:rsidR="007D537C" w:rsidRPr="006A0EFB">
              <w:rPr>
                <w:rStyle w:val="Hyperlink"/>
                <w:rFonts w:cstheme="majorHAnsi"/>
                <w:b/>
                <w:bCs/>
                <w:noProof/>
                <w:w w:val="95"/>
              </w:rPr>
              <w:t>CHAPTER 2: UN development system support to national development priorities throughout the Cooperation Framework</w:t>
            </w:r>
            <w:r w:rsidR="007D537C">
              <w:rPr>
                <w:noProof/>
                <w:webHidden/>
              </w:rPr>
              <w:tab/>
            </w:r>
            <w:r w:rsidR="007D537C">
              <w:rPr>
                <w:noProof/>
                <w:webHidden/>
              </w:rPr>
              <w:fldChar w:fldCharType="begin"/>
            </w:r>
            <w:r w:rsidR="007D537C">
              <w:rPr>
                <w:noProof/>
                <w:webHidden/>
              </w:rPr>
              <w:instrText xml:space="preserve"> PAGEREF _Toc71207067 \h </w:instrText>
            </w:r>
            <w:r w:rsidR="007D537C">
              <w:rPr>
                <w:noProof/>
                <w:webHidden/>
              </w:rPr>
            </w:r>
            <w:r w:rsidR="007D537C">
              <w:rPr>
                <w:noProof/>
                <w:webHidden/>
              </w:rPr>
              <w:fldChar w:fldCharType="separate"/>
            </w:r>
            <w:r w:rsidR="007D537C">
              <w:rPr>
                <w:noProof/>
                <w:webHidden/>
              </w:rPr>
              <w:t>9</w:t>
            </w:r>
            <w:r w:rsidR="007D537C">
              <w:rPr>
                <w:noProof/>
                <w:webHidden/>
              </w:rPr>
              <w:fldChar w:fldCharType="end"/>
            </w:r>
          </w:hyperlink>
        </w:p>
        <w:p w14:paraId="4E12246A" w14:textId="39AEE5A1" w:rsidR="007D537C" w:rsidRDefault="00822BB4">
          <w:pPr>
            <w:pStyle w:val="TOC3"/>
            <w:tabs>
              <w:tab w:val="left" w:pos="1100"/>
              <w:tab w:val="right" w:leader="dot" w:pos="9350"/>
            </w:tabs>
            <w:rPr>
              <w:rFonts w:asciiTheme="minorHAnsi" w:eastAsiaTheme="minorEastAsia" w:hAnsiTheme="minorHAnsi" w:cstheme="minorBidi"/>
              <w:noProof/>
              <w:lang w:bidi="ar-SA"/>
            </w:rPr>
          </w:pPr>
          <w:hyperlink w:anchor="_Toc71207068" w:history="1">
            <w:r w:rsidR="007D537C" w:rsidRPr="006A0EFB">
              <w:rPr>
                <w:rStyle w:val="Hyperlink"/>
                <w:rFonts w:cstheme="majorHAnsi"/>
                <w:i/>
                <w:iCs/>
                <w:noProof/>
              </w:rPr>
              <w:t>2.1</w:t>
            </w:r>
            <w:r w:rsidR="007D537C">
              <w:rPr>
                <w:rFonts w:asciiTheme="minorHAnsi" w:eastAsiaTheme="minorEastAsia" w:hAnsiTheme="minorHAnsi" w:cstheme="minorBidi"/>
                <w:noProof/>
                <w:lang w:bidi="ar-SA"/>
              </w:rPr>
              <w:tab/>
            </w:r>
            <w:r w:rsidR="007D537C" w:rsidRPr="006A0EFB">
              <w:rPr>
                <w:rStyle w:val="Hyperlink"/>
                <w:rFonts w:cstheme="majorHAnsi"/>
                <w:i/>
                <w:iCs/>
                <w:noProof/>
              </w:rPr>
              <w:t>Overview of Cooperation Framework Results</w:t>
            </w:r>
            <w:r w:rsidR="007D537C">
              <w:rPr>
                <w:noProof/>
                <w:webHidden/>
              </w:rPr>
              <w:tab/>
            </w:r>
            <w:r w:rsidR="007D537C">
              <w:rPr>
                <w:noProof/>
                <w:webHidden/>
              </w:rPr>
              <w:fldChar w:fldCharType="begin"/>
            </w:r>
            <w:r w:rsidR="007D537C">
              <w:rPr>
                <w:noProof/>
                <w:webHidden/>
              </w:rPr>
              <w:instrText xml:space="preserve"> PAGEREF _Toc71207068 \h </w:instrText>
            </w:r>
            <w:r w:rsidR="007D537C">
              <w:rPr>
                <w:noProof/>
                <w:webHidden/>
              </w:rPr>
            </w:r>
            <w:r w:rsidR="007D537C">
              <w:rPr>
                <w:noProof/>
                <w:webHidden/>
              </w:rPr>
              <w:fldChar w:fldCharType="separate"/>
            </w:r>
            <w:r w:rsidR="007D537C">
              <w:rPr>
                <w:noProof/>
                <w:webHidden/>
              </w:rPr>
              <w:t>9</w:t>
            </w:r>
            <w:r w:rsidR="007D537C">
              <w:rPr>
                <w:noProof/>
                <w:webHidden/>
              </w:rPr>
              <w:fldChar w:fldCharType="end"/>
            </w:r>
          </w:hyperlink>
        </w:p>
        <w:p w14:paraId="290BC4E2" w14:textId="6A4CCE8A" w:rsidR="007D537C" w:rsidRDefault="00822BB4">
          <w:pPr>
            <w:pStyle w:val="TOC3"/>
            <w:tabs>
              <w:tab w:val="left" w:pos="880"/>
              <w:tab w:val="right" w:leader="dot" w:pos="9350"/>
            </w:tabs>
            <w:rPr>
              <w:rFonts w:asciiTheme="minorHAnsi" w:eastAsiaTheme="minorEastAsia" w:hAnsiTheme="minorHAnsi" w:cstheme="minorBidi"/>
              <w:noProof/>
              <w:lang w:bidi="ar-SA"/>
            </w:rPr>
          </w:pPr>
          <w:hyperlink w:anchor="_Toc71207069" w:history="1">
            <w:r w:rsidR="007D537C" w:rsidRPr="006A0EFB">
              <w:rPr>
                <w:rStyle w:val="Hyperlink"/>
                <w:rFonts w:eastAsia="Times New Roman"/>
                <w:b/>
                <w:bCs/>
                <w:noProof/>
              </w:rPr>
              <w:t>I.</w:t>
            </w:r>
            <w:r w:rsidR="007D537C">
              <w:rPr>
                <w:rFonts w:asciiTheme="minorHAnsi" w:eastAsiaTheme="minorEastAsia" w:hAnsiTheme="minorHAnsi" w:cstheme="minorBidi"/>
                <w:noProof/>
                <w:lang w:bidi="ar-SA"/>
              </w:rPr>
              <w:tab/>
            </w:r>
            <w:r w:rsidR="007D537C" w:rsidRPr="006A0EFB">
              <w:rPr>
                <w:rStyle w:val="Hyperlink"/>
                <w:rFonts w:eastAsia="Times New Roman"/>
                <w:b/>
                <w:bCs/>
                <w:noProof/>
              </w:rPr>
              <w:t>FOOD SECURITY AND NUTRITION</w:t>
            </w:r>
            <w:r w:rsidR="007D537C">
              <w:rPr>
                <w:noProof/>
                <w:webHidden/>
              </w:rPr>
              <w:tab/>
            </w:r>
            <w:r w:rsidR="007D537C">
              <w:rPr>
                <w:noProof/>
                <w:webHidden/>
              </w:rPr>
              <w:fldChar w:fldCharType="begin"/>
            </w:r>
            <w:r w:rsidR="007D537C">
              <w:rPr>
                <w:noProof/>
                <w:webHidden/>
              </w:rPr>
              <w:instrText xml:space="preserve"> PAGEREF _Toc71207069 \h </w:instrText>
            </w:r>
            <w:r w:rsidR="007D537C">
              <w:rPr>
                <w:noProof/>
                <w:webHidden/>
              </w:rPr>
            </w:r>
            <w:r w:rsidR="007D537C">
              <w:rPr>
                <w:noProof/>
                <w:webHidden/>
              </w:rPr>
              <w:fldChar w:fldCharType="separate"/>
            </w:r>
            <w:r w:rsidR="007D537C">
              <w:rPr>
                <w:noProof/>
                <w:webHidden/>
              </w:rPr>
              <w:t>10</w:t>
            </w:r>
            <w:r w:rsidR="007D537C">
              <w:rPr>
                <w:noProof/>
                <w:webHidden/>
              </w:rPr>
              <w:fldChar w:fldCharType="end"/>
            </w:r>
          </w:hyperlink>
        </w:p>
        <w:p w14:paraId="438CEBCA" w14:textId="7F204EE7" w:rsidR="007D537C" w:rsidRDefault="00822BB4">
          <w:pPr>
            <w:pStyle w:val="TOC3"/>
            <w:tabs>
              <w:tab w:val="left" w:pos="880"/>
              <w:tab w:val="right" w:leader="dot" w:pos="9350"/>
            </w:tabs>
            <w:rPr>
              <w:rFonts w:asciiTheme="minorHAnsi" w:eastAsiaTheme="minorEastAsia" w:hAnsiTheme="minorHAnsi" w:cstheme="minorBidi"/>
              <w:noProof/>
              <w:lang w:bidi="ar-SA"/>
            </w:rPr>
          </w:pPr>
          <w:hyperlink w:anchor="_Toc71207070" w:history="1">
            <w:r w:rsidR="007D537C" w:rsidRPr="006A0EFB">
              <w:rPr>
                <w:rStyle w:val="Hyperlink"/>
                <w:rFonts w:eastAsia="Times New Roman"/>
                <w:b/>
                <w:bCs/>
                <w:noProof/>
              </w:rPr>
              <w:t>II.</w:t>
            </w:r>
            <w:r w:rsidR="007D537C">
              <w:rPr>
                <w:rFonts w:asciiTheme="minorHAnsi" w:eastAsiaTheme="minorEastAsia" w:hAnsiTheme="minorHAnsi" w:cstheme="minorBidi"/>
                <w:noProof/>
                <w:lang w:bidi="ar-SA"/>
              </w:rPr>
              <w:tab/>
            </w:r>
            <w:r w:rsidR="007D537C" w:rsidRPr="006A0EFB">
              <w:rPr>
                <w:rStyle w:val="Hyperlink"/>
                <w:rFonts w:eastAsia="Times New Roman"/>
                <w:b/>
                <w:bCs/>
                <w:noProof/>
              </w:rPr>
              <w:t>ECONOMIC TRANSFORMATION</w:t>
            </w:r>
            <w:r w:rsidR="007D537C">
              <w:rPr>
                <w:noProof/>
                <w:webHidden/>
              </w:rPr>
              <w:tab/>
            </w:r>
            <w:r w:rsidR="007D537C">
              <w:rPr>
                <w:noProof/>
                <w:webHidden/>
              </w:rPr>
              <w:fldChar w:fldCharType="begin"/>
            </w:r>
            <w:r w:rsidR="007D537C">
              <w:rPr>
                <w:noProof/>
                <w:webHidden/>
              </w:rPr>
              <w:instrText xml:space="preserve"> PAGEREF _Toc71207070 \h </w:instrText>
            </w:r>
            <w:r w:rsidR="007D537C">
              <w:rPr>
                <w:noProof/>
                <w:webHidden/>
              </w:rPr>
            </w:r>
            <w:r w:rsidR="007D537C">
              <w:rPr>
                <w:noProof/>
                <w:webHidden/>
              </w:rPr>
              <w:fldChar w:fldCharType="separate"/>
            </w:r>
            <w:r w:rsidR="007D537C">
              <w:rPr>
                <w:noProof/>
                <w:webHidden/>
              </w:rPr>
              <w:t>11</w:t>
            </w:r>
            <w:r w:rsidR="007D537C">
              <w:rPr>
                <w:noProof/>
                <w:webHidden/>
              </w:rPr>
              <w:fldChar w:fldCharType="end"/>
            </w:r>
          </w:hyperlink>
        </w:p>
        <w:p w14:paraId="103E8E7C" w14:textId="3F3348DD" w:rsidR="007D537C" w:rsidRDefault="00822BB4">
          <w:pPr>
            <w:pStyle w:val="TOC3"/>
            <w:tabs>
              <w:tab w:val="left" w:pos="1100"/>
              <w:tab w:val="right" w:leader="dot" w:pos="9350"/>
            </w:tabs>
            <w:rPr>
              <w:rFonts w:asciiTheme="minorHAnsi" w:eastAsiaTheme="minorEastAsia" w:hAnsiTheme="minorHAnsi" w:cstheme="minorBidi"/>
              <w:noProof/>
              <w:lang w:bidi="ar-SA"/>
            </w:rPr>
          </w:pPr>
          <w:hyperlink w:anchor="_Toc71207071" w:history="1">
            <w:r w:rsidR="007D537C" w:rsidRPr="006A0EFB">
              <w:rPr>
                <w:rStyle w:val="Hyperlink"/>
                <w:rFonts w:eastAsia="Times New Roman"/>
                <w:b/>
                <w:bCs/>
                <w:noProof/>
              </w:rPr>
              <w:t>III.</w:t>
            </w:r>
            <w:r w:rsidR="007D537C">
              <w:rPr>
                <w:rFonts w:asciiTheme="minorHAnsi" w:eastAsiaTheme="minorEastAsia" w:hAnsiTheme="minorHAnsi" w:cstheme="minorBidi"/>
                <w:noProof/>
                <w:lang w:bidi="ar-SA"/>
              </w:rPr>
              <w:tab/>
            </w:r>
            <w:r w:rsidR="007D537C" w:rsidRPr="006A0EFB">
              <w:rPr>
                <w:rStyle w:val="Hyperlink"/>
                <w:rFonts w:eastAsia="Times New Roman"/>
                <w:b/>
                <w:bCs/>
                <w:noProof/>
              </w:rPr>
              <w:t>EDUCATION</w:t>
            </w:r>
            <w:r w:rsidR="007D537C">
              <w:rPr>
                <w:noProof/>
                <w:webHidden/>
              </w:rPr>
              <w:tab/>
            </w:r>
            <w:r w:rsidR="007D537C">
              <w:rPr>
                <w:noProof/>
                <w:webHidden/>
              </w:rPr>
              <w:fldChar w:fldCharType="begin"/>
            </w:r>
            <w:r w:rsidR="007D537C">
              <w:rPr>
                <w:noProof/>
                <w:webHidden/>
              </w:rPr>
              <w:instrText xml:space="preserve"> PAGEREF _Toc71207071 \h </w:instrText>
            </w:r>
            <w:r w:rsidR="007D537C">
              <w:rPr>
                <w:noProof/>
                <w:webHidden/>
              </w:rPr>
            </w:r>
            <w:r w:rsidR="007D537C">
              <w:rPr>
                <w:noProof/>
                <w:webHidden/>
              </w:rPr>
              <w:fldChar w:fldCharType="separate"/>
            </w:r>
            <w:r w:rsidR="007D537C">
              <w:rPr>
                <w:noProof/>
                <w:webHidden/>
              </w:rPr>
              <w:t>12</w:t>
            </w:r>
            <w:r w:rsidR="007D537C">
              <w:rPr>
                <w:noProof/>
                <w:webHidden/>
              </w:rPr>
              <w:fldChar w:fldCharType="end"/>
            </w:r>
          </w:hyperlink>
        </w:p>
        <w:p w14:paraId="4AECE651" w14:textId="090DBD65" w:rsidR="007D537C" w:rsidRDefault="00822BB4">
          <w:pPr>
            <w:pStyle w:val="TOC3"/>
            <w:tabs>
              <w:tab w:val="left" w:pos="1100"/>
              <w:tab w:val="right" w:leader="dot" w:pos="9350"/>
            </w:tabs>
            <w:rPr>
              <w:rFonts w:asciiTheme="minorHAnsi" w:eastAsiaTheme="minorEastAsia" w:hAnsiTheme="minorHAnsi" w:cstheme="minorBidi"/>
              <w:noProof/>
              <w:lang w:bidi="ar-SA"/>
            </w:rPr>
          </w:pPr>
          <w:hyperlink w:anchor="_Toc71207072" w:history="1">
            <w:r w:rsidR="007D537C" w:rsidRPr="006A0EFB">
              <w:rPr>
                <w:rStyle w:val="Hyperlink"/>
                <w:rFonts w:eastAsia="Times New Roman"/>
                <w:b/>
                <w:bCs/>
                <w:noProof/>
              </w:rPr>
              <w:t>IV.</w:t>
            </w:r>
            <w:r w:rsidR="007D537C">
              <w:rPr>
                <w:rFonts w:asciiTheme="minorHAnsi" w:eastAsiaTheme="minorEastAsia" w:hAnsiTheme="minorHAnsi" w:cstheme="minorBidi"/>
                <w:noProof/>
                <w:lang w:bidi="ar-SA"/>
              </w:rPr>
              <w:tab/>
            </w:r>
            <w:r w:rsidR="007D537C" w:rsidRPr="006A0EFB">
              <w:rPr>
                <w:rStyle w:val="Hyperlink"/>
                <w:rFonts w:eastAsia="Times New Roman"/>
                <w:b/>
                <w:bCs/>
                <w:noProof/>
              </w:rPr>
              <w:t>GENDER</w:t>
            </w:r>
            <w:r w:rsidR="007D537C">
              <w:rPr>
                <w:noProof/>
                <w:webHidden/>
              </w:rPr>
              <w:tab/>
            </w:r>
            <w:r w:rsidR="007D537C">
              <w:rPr>
                <w:noProof/>
                <w:webHidden/>
              </w:rPr>
              <w:fldChar w:fldCharType="begin"/>
            </w:r>
            <w:r w:rsidR="007D537C">
              <w:rPr>
                <w:noProof/>
                <w:webHidden/>
              </w:rPr>
              <w:instrText xml:space="preserve"> PAGEREF _Toc71207072 \h </w:instrText>
            </w:r>
            <w:r w:rsidR="007D537C">
              <w:rPr>
                <w:noProof/>
                <w:webHidden/>
              </w:rPr>
            </w:r>
            <w:r w:rsidR="007D537C">
              <w:rPr>
                <w:noProof/>
                <w:webHidden/>
              </w:rPr>
              <w:fldChar w:fldCharType="separate"/>
            </w:r>
            <w:r w:rsidR="007D537C">
              <w:rPr>
                <w:noProof/>
                <w:webHidden/>
              </w:rPr>
              <w:t>13</w:t>
            </w:r>
            <w:r w:rsidR="007D537C">
              <w:rPr>
                <w:noProof/>
                <w:webHidden/>
              </w:rPr>
              <w:fldChar w:fldCharType="end"/>
            </w:r>
          </w:hyperlink>
        </w:p>
        <w:p w14:paraId="7D4C7EE6" w14:textId="2636DABE" w:rsidR="007D537C" w:rsidRDefault="00822BB4">
          <w:pPr>
            <w:pStyle w:val="TOC3"/>
            <w:tabs>
              <w:tab w:val="left" w:pos="880"/>
              <w:tab w:val="right" w:leader="dot" w:pos="9350"/>
            </w:tabs>
            <w:rPr>
              <w:rFonts w:asciiTheme="minorHAnsi" w:eastAsiaTheme="minorEastAsia" w:hAnsiTheme="minorHAnsi" w:cstheme="minorBidi"/>
              <w:noProof/>
              <w:lang w:bidi="ar-SA"/>
            </w:rPr>
          </w:pPr>
          <w:hyperlink w:anchor="_Toc71207073" w:history="1">
            <w:r w:rsidR="007D537C" w:rsidRPr="006A0EFB">
              <w:rPr>
                <w:rStyle w:val="Hyperlink"/>
                <w:rFonts w:eastAsia="Times New Roman"/>
                <w:b/>
                <w:bCs/>
                <w:noProof/>
              </w:rPr>
              <w:t>V.</w:t>
            </w:r>
            <w:r w:rsidR="007D537C">
              <w:rPr>
                <w:rFonts w:asciiTheme="minorHAnsi" w:eastAsiaTheme="minorEastAsia" w:hAnsiTheme="minorHAnsi" w:cstheme="minorBidi"/>
                <w:noProof/>
                <w:lang w:bidi="ar-SA"/>
              </w:rPr>
              <w:tab/>
            </w:r>
            <w:r w:rsidR="007D537C" w:rsidRPr="006A0EFB">
              <w:rPr>
                <w:rStyle w:val="Hyperlink"/>
                <w:rFonts w:eastAsia="Times New Roman"/>
                <w:b/>
                <w:bCs/>
                <w:noProof/>
              </w:rPr>
              <w:t>SOCIAL PROTECTION</w:t>
            </w:r>
            <w:r w:rsidR="007D537C">
              <w:rPr>
                <w:noProof/>
                <w:webHidden/>
              </w:rPr>
              <w:tab/>
            </w:r>
            <w:r w:rsidR="007D537C">
              <w:rPr>
                <w:noProof/>
                <w:webHidden/>
              </w:rPr>
              <w:fldChar w:fldCharType="begin"/>
            </w:r>
            <w:r w:rsidR="007D537C">
              <w:rPr>
                <w:noProof/>
                <w:webHidden/>
              </w:rPr>
              <w:instrText xml:space="preserve"> PAGEREF _Toc71207073 \h </w:instrText>
            </w:r>
            <w:r w:rsidR="007D537C">
              <w:rPr>
                <w:noProof/>
                <w:webHidden/>
              </w:rPr>
            </w:r>
            <w:r w:rsidR="007D537C">
              <w:rPr>
                <w:noProof/>
                <w:webHidden/>
              </w:rPr>
              <w:fldChar w:fldCharType="separate"/>
            </w:r>
            <w:r w:rsidR="007D537C">
              <w:rPr>
                <w:noProof/>
                <w:webHidden/>
              </w:rPr>
              <w:t>14</w:t>
            </w:r>
            <w:r w:rsidR="007D537C">
              <w:rPr>
                <w:noProof/>
                <w:webHidden/>
              </w:rPr>
              <w:fldChar w:fldCharType="end"/>
            </w:r>
          </w:hyperlink>
        </w:p>
        <w:p w14:paraId="7AAD36B6" w14:textId="1601CE8B" w:rsidR="007D537C" w:rsidRDefault="00822BB4">
          <w:pPr>
            <w:pStyle w:val="TOC3"/>
            <w:tabs>
              <w:tab w:val="left" w:pos="1100"/>
              <w:tab w:val="right" w:leader="dot" w:pos="9350"/>
            </w:tabs>
            <w:rPr>
              <w:rFonts w:asciiTheme="minorHAnsi" w:eastAsiaTheme="minorEastAsia" w:hAnsiTheme="minorHAnsi" w:cstheme="minorBidi"/>
              <w:noProof/>
              <w:lang w:bidi="ar-SA"/>
            </w:rPr>
          </w:pPr>
          <w:hyperlink w:anchor="_Toc71207074" w:history="1">
            <w:r w:rsidR="007D537C" w:rsidRPr="006A0EFB">
              <w:rPr>
                <w:rStyle w:val="Hyperlink"/>
                <w:rFonts w:eastAsia="Times New Roman"/>
                <w:b/>
                <w:bCs/>
                <w:noProof/>
              </w:rPr>
              <w:t>VI.</w:t>
            </w:r>
            <w:r w:rsidR="007D537C">
              <w:rPr>
                <w:rFonts w:asciiTheme="minorHAnsi" w:eastAsiaTheme="minorEastAsia" w:hAnsiTheme="minorHAnsi" w:cstheme="minorBidi"/>
                <w:noProof/>
                <w:lang w:bidi="ar-SA"/>
              </w:rPr>
              <w:tab/>
            </w:r>
            <w:r w:rsidR="007D537C" w:rsidRPr="006A0EFB">
              <w:rPr>
                <w:rStyle w:val="Hyperlink"/>
                <w:rFonts w:eastAsia="Times New Roman"/>
                <w:b/>
                <w:bCs/>
                <w:noProof/>
              </w:rPr>
              <w:t>HEALTH</w:t>
            </w:r>
            <w:r w:rsidR="007D537C">
              <w:rPr>
                <w:noProof/>
                <w:webHidden/>
              </w:rPr>
              <w:tab/>
            </w:r>
            <w:r w:rsidR="007D537C">
              <w:rPr>
                <w:noProof/>
                <w:webHidden/>
              </w:rPr>
              <w:fldChar w:fldCharType="begin"/>
            </w:r>
            <w:r w:rsidR="007D537C">
              <w:rPr>
                <w:noProof/>
                <w:webHidden/>
              </w:rPr>
              <w:instrText xml:space="preserve"> PAGEREF _Toc71207074 \h </w:instrText>
            </w:r>
            <w:r w:rsidR="007D537C">
              <w:rPr>
                <w:noProof/>
                <w:webHidden/>
              </w:rPr>
            </w:r>
            <w:r w:rsidR="007D537C">
              <w:rPr>
                <w:noProof/>
                <w:webHidden/>
              </w:rPr>
              <w:fldChar w:fldCharType="separate"/>
            </w:r>
            <w:r w:rsidR="007D537C">
              <w:rPr>
                <w:noProof/>
                <w:webHidden/>
              </w:rPr>
              <w:t>15</w:t>
            </w:r>
            <w:r w:rsidR="007D537C">
              <w:rPr>
                <w:noProof/>
                <w:webHidden/>
              </w:rPr>
              <w:fldChar w:fldCharType="end"/>
            </w:r>
          </w:hyperlink>
        </w:p>
        <w:p w14:paraId="6218D961" w14:textId="1728D543" w:rsidR="007D537C" w:rsidRDefault="00822BB4">
          <w:pPr>
            <w:pStyle w:val="TOC3"/>
            <w:tabs>
              <w:tab w:val="left" w:pos="1100"/>
              <w:tab w:val="right" w:leader="dot" w:pos="9350"/>
            </w:tabs>
            <w:rPr>
              <w:rFonts w:asciiTheme="minorHAnsi" w:eastAsiaTheme="minorEastAsia" w:hAnsiTheme="minorHAnsi" w:cstheme="minorBidi"/>
              <w:noProof/>
              <w:lang w:bidi="ar-SA"/>
            </w:rPr>
          </w:pPr>
          <w:hyperlink w:anchor="_Toc71207075" w:history="1">
            <w:r w:rsidR="007D537C" w:rsidRPr="006A0EFB">
              <w:rPr>
                <w:rStyle w:val="Hyperlink"/>
                <w:rFonts w:eastAsia="Times New Roman"/>
                <w:b/>
                <w:bCs/>
                <w:noProof/>
              </w:rPr>
              <w:t>VII.</w:t>
            </w:r>
            <w:r w:rsidR="007D537C">
              <w:rPr>
                <w:rFonts w:asciiTheme="minorHAnsi" w:eastAsiaTheme="minorEastAsia" w:hAnsiTheme="minorHAnsi" w:cstheme="minorBidi"/>
                <w:noProof/>
                <w:lang w:bidi="ar-SA"/>
              </w:rPr>
              <w:tab/>
            </w:r>
            <w:r w:rsidR="007D537C" w:rsidRPr="006A0EFB">
              <w:rPr>
                <w:rStyle w:val="Hyperlink"/>
                <w:rFonts w:eastAsia="Times New Roman"/>
                <w:b/>
                <w:bCs/>
                <w:noProof/>
              </w:rPr>
              <w:t>YOUTH</w:t>
            </w:r>
            <w:r w:rsidR="007D537C">
              <w:rPr>
                <w:noProof/>
                <w:webHidden/>
              </w:rPr>
              <w:tab/>
            </w:r>
            <w:r w:rsidR="007D537C">
              <w:rPr>
                <w:noProof/>
                <w:webHidden/>
              </w:rPr>
              <w:fldChar w:fldCharType="begin"/>
            </w:r>
            <w:r w:rsidR="007D537C">
              <w:rPr>
                <w:noProof/>
                <w:webHidden/>
              </w:rPr>
              <w:instrText xml:space="preserve"> PAGEREF _Toc71207075 \h </w:instrText>
            </w:r>
            <w:r w:rsidR="007D537C">
              <w:rPr>
                <w:noProof/>
                <w:webHidden/>
              </w:rPr>
            </w:r>
            <w:r w:rsidR="007D537C">
              <w:rPr>
                <w:noProof/>
                <w:webHidden/>
              </w:rPr>
              <w:fldChar w:fldCharType="separate"/>
            </w:r>
            <w:r w:rsidR="007D537C">
              <w:rPr>
                <w:noProof/>
                <w:webHidden/>
              </w:rPr>
              <w:t>16</w:t>
            </w:r>
            <w:r w:rsidR="007D537C">
              <w:rPr>
                <w:noProof/>
                <w:webHidden/>
              </w:rPr>
              <w:fldChar w:fldCharType="end"/>
            </w:r>
          </w:hyperlink>
        </w:p>
        <w:p w14:paraId="6E58426A" w14:textId="3A1B003E" w:rsidR="007D537C" w:rsidRDefault="00822BB4">
          <w:pPr>
            <w:pStyle w:val="TOC3"/>
            <w:tabs>
              <w:tab w:val="left" w:pos="1100"/>
              <w:tab w:val="right" w:leader="dot" w:pos="9350"/>
            </w:tabs>
            <w:rPr>
              <w:rFonts w:asciiTheme="minorHAnsi" w:eastAsiaTheme="minorEastAsia" w:hAnsiTheme="minorHAnsi" w:cstheme="minorBidi"/>
              <w:noProof/>
              <w:lang w:bidi="ar-SA"/>
            </w:rPr>
          </w:pPr>
          <w:hyperlink w:anchor="_Toc71207076" w:history="1">
            <w:r w:rsidR="007D537C" w:rsidRPr="006A0EFB">
              <w:rPr>
                <w:rStyle w:val="Hyperlink"/>
                <w:rFonts w:eastAsia="Times New Roman"/>
                <w:b/>
                <w:bCs/>
                <w:noProof/>
              </w:rPr>
              <w:t>VIII.</w:t>
            </w:r>
            <w:r w:rsidR="007D537C">
              <w:rPr>
                <w:rFonts w:asciiTheme="minorHAnsi" w:eastAsiaTheme="minorEastAsia" w:hAnsiTheme="minorHAnsi" w:cstheme="minorBidi"/>
                <w:noProof/>
                <w:lang w:bidi="ar-SA"/>
              </w:rPr>
              <w:tab/>
            </w:r>
            <w:r w:rsidR="007D537C" w:rsidRPr="006A0EFB">
              <w:rPr>
                <w:rStyle w:val="Hyperlink"/>
                <w:rFonts w:eastAsia="Times New Roman"/>
                <w:b/>
                <w:bCs/>
                <w:noProof/>
              </w:rPr>
              <w:t>GOVERNANCE</w:t>
            </w:r>
            <w:r w:rsidR="007D537C">
              <w:rPr>
                <w:noProof/>
                <w:webHidden/>
              </w:rPr>
              <w:tab/>
            </w:r>
            <w:r w:rsidR="007D537C">
              <w:rPr>
                <w:noProof/>
                <w:webHidden/>
              </w:rPr>
              <w:fldChar w:fldCharType="begin"/>
            </w:r>
            <w:r w:rsidR="007D537C">
              <w:rPr>
                <w:noProof/>
                <w:webHidden/>
              </w:rPr>
              <w:instrText xml:space="preserve"> PAGEREF _Toc71207076 \h </w:instrText>
            </w:r>
            <w:r w:rsidR="007D537C">
              <w:rPr>
                <w:noProof/>
                <w:webHidden/>
              </w:rPr>
            </w:r>
            <w:r w:rsidR="007D537C">
              <w:rPr>
                <w:noProof/>
                <w:webHidden/>
              </w:rPr>
              <w:fldChar w:fldCharType="separate"/>
            </w:r>
            <w:r w:rsidR="007D537C">
              <w:rPr>
                <w:noProof/>
                <w:webHidden/>
              </w:rPr>
              <w:t>17</w:t>
            </w:r>
            <w:r w:rsidR="007D537C">
              <w:rPr>
                <w:noProof/>
                <w:webHidden/>
              </w:rPr>
              <w:fldChar w:fldCharType="end"/>
            </w:r>
          </w:hyperlink>
        </w:p>
        <w:p w14:paraId="4AF8D717" w14:textId="17A36D5E" w:rsidR="007D537C" w:rsidRDefault="00822BB4">
          <w:pPr>
            <w:pStyle w:val="TOC3"/>
            <w:tabs>
              <w:tab w:val="left" w:pos="1100"/>
              <w:tab w:val="right" w:leader="dot" w:pos="9350"/>
            </w:tabs>
            <w:rPr>
              <w:rFonts w:asciiTheme="minorHAnsi" w:eastAsiaTheme="minorEastAsia" w:hAnsiTheme="minorHAnsi" w:cstheme="minorBidi"/>
              <w:noProof/>
              <w:lang w:bidi="ar-SA"/>
            </w:rPr>
          </w:pPr>
          <w:hyperlink w:anchor="_Toc71207077" w:history="1">
            <w:r w:rsidR="007D537C" w:rsidRPr="006A0EFB">
              <w:rPr>
                <w:rStyle w:val="Hyperlink"/>
                <w:rFonts w:eastAsia="Times New Roman"/>
                <w:b/>
                <w:bCs/>
                <w:noProof/>
              </w:rPr>
              <w:t>IX.</w:t>
            </w:r>
            <w:r w:rsidR="007D537C">
              <w:rPr>
                <w:rFonts w:asciiTheme="minorHAnsi" w:eastAsiaTheme="minorEastAsia" w:hAnsiTheme="minorHAnsi" w:cstheme="minorBidi"/>
                <w:noProof/>
                <w:lang w:bidi="ar-SA"/>
              </w:rPr>
              <w:tab/>
            </w:r>
            <w:r w:rsidR="007D537C" w:rsidRPr="006A0EFB">
              <w:rPr>
                <w:rStyle w:val="Hyperlink"/>
                <w:rFonts w:eastAsia="Times New Roman"/>
                <w:b/>
                <w:bCs/>
                <w:noProof/>
              </w:rPr>
              <w:t>NATURAL RESOURCES MANAGEMENT</w:t>
            </w:r>
            <w:r w:rsidR="007D537C">
              <w:rPr>
                <w:noProof/>
                <w:webHidden/>
              </w:rPr>
              <w:tab/>
            </w:r>
            <w:r w:rsidR="007D537C">
              <w:rPr>
                <w:noProof/>
                <w:webHidden/>
              </w:rPr>
              <w:fldChar w:fldCharType="begin"/>
            </w:r>
            <w:r w:rsidR="007D537C">
              <w:rPr>
                <w:noProof/>
                <w:webHidden/>
              </w:rPr>
              <w:instrText xml:space="preserve"> PAGEREF _Toc71207077 \h </w:instrText>
            </w:r>
            <w:r w:rsidR="007D537C">
              <w:rPr>
                <w:noProof/>
                <w:webHidden/>
              </w:rPr>
            </w:r>
            <w:r w:rsidR="007D537C">
              <w:rPr>
                <w:noProof/>
                <w:webHidden/>
              </w:rPr>
              <w:fldChar w:fldCharType="separate"/>
            </w:r>
            <w:r w:rsidR="007D537C">
              <w:rPr>
                <w:noProof/>
                <w:webHidden/>
              </w:rPr>
              <w:t>18</w:t>
            </w:r>
            <w:r w:rsidR="007D537C">
              <w:rPr>
                <w:noProof/>
                <w:webHidden/>
              </w:rPr>
              <w:fldChar w:fldCharType="end"/>
            </w:r>
          </w:hyperlink>
        </w:p>
        <w:p w14:paraId="47606D7D" w14:textId="003918DE" w:rsidR="007D537C" w:rsidRDefault="00822BB4">
          <w:pPr>
            <w:pStyle w:val="TOC3"/>
            <w:tabs>
              <w:tab w:val="left" w:pos="1100"/>
              <w:tab w:val="right" w:leader="dot" w:pos="9350"/>
            </w:tabs>
            <w:rPr>
              <w:rFonts w:asciiTheme="minorHAnsi" w:eastAsiaTheme="minorEastAsia" w:hAnsiTheme="minorHAnsi" w:cstheme="minorBidi"/>
              <w:noProof/>
              <w:lang w:bidi="ar-SA"/>
            </w:rPr>
          </w:pPr>
          <w:hyperlink w:anchor="_Toc71207078" w:history="1">
            <w:r w:rsidR="007D537C" w:rsidRPr="006A0EFB">
              <w:rPr>
                <w:rStyle w:val="Hyperlink"/>
                <w:rFonts w:eastAsia="Times New Roman"/>
                <w:b/>
                <w:bCs/>
                <w:noProof/>
              </w:rPr>
              <w:t>X.</w:t>
            </w:r>
            <w:r w:rsidR="007D537C">
              <w:rPr>
                <w:rFonts w:asciiTheme="minorHAnsi" w:eastAsiaTheme="minorEastAsia" w:hAnsiTheme="minorHAnsi" w:cstheme="minorBidi"/>
                <w:noProof/>
                <w:lang w:bidi="ar-SA"/>
              </w:rPr>
              <w:tab/>
            </w:r>
            <w:r w:rsidR="007D537C" w:rsidRPr="006A0EFB">
              <w:rPr>
                <w:rStyle w:val="Hyperlink"/>
                <w:rFonts w:eastAsia="Times New Roman"/>
                <w:b/>
                <w:bCs/>
                <w:noProof/>
              </w:rPr>
              <w:t>RESILIENCE</w:t>
            </w:r>
            <w:r w:rsidR="007D537C">
              <w:rPr>
                <w:noProof/>
                <w:webHidden/>
              </w:rPr>
              <w:tab/>
            </w:r>
            <w:r w:rsidR="007D537C">
              <w:rPr>
                <w:noProof/>
                <w:webHidden/>
              </w:rPr>
              <w:fldChar w:fldCharType="begin"/>
            </w:r>
            <w:r w:rsidR="007D537C">
              <w:rPr>
                <w:noProof/>
                <w:webHidden/>
              </w:rPr>
              <w:instrText xml:space="preserve"> PAGEREF _Toc71207078 \h </w:instrText>
            </w:r>
            <w:r w:rsidR="007D537C">
              <w:rPr>
                <w:noProof/>
                <w:webHidden/>
              </w:rPr>
            </w:r>
            <w:r w:rsidR="007D537C">
              <w:rPr>
                <w:noProof/>
                <w:webHidden/>
              </w:rPr>
              <w:fldChar w:fldCharType="separate"/>
            </w:r>
            <w:r w:rsidR="007D537C">
              <w:rPr>
                <w:noProof/>
                <w:webHidden/>
              </w:rPr>
              <w:t>19</w:t>
            </w:r>
            <w:r w:rsidR="007D537C">
              <w:rPr>
                <w:noProof/>
                <w:webHidden/>
              </w:rPr>
              <w:fldChar w:fldCharType="end"/>
            </w:r>
          </w:hyperlink>
        </w:p>
        <w:p w14:paraId="59552FF9" w14:textId="3BE216CE" w:rsidR="007D537C" w:rsidRDefault="00822BB4">
          <w:pPr>
            <w:pStyle w:val="TOC3"/>
            <w:tabs>
              <w:tab w:val="right" w:leader="dot" w:pos="9350"/>
            </w:tabs>
            <w:rPr>
              <w:rFonts w:asciiTheme="minorHAnsi" w:eastAsiaTheme="minorEastAsia" w:hAnsiTheme="minorHAnsi" w:cstheme="minorBidi"/>
              <w:noProof/>
              <w:lang w:bidi="ar-SA"/>
            </w:rPr>
          </w:pPr>
          <w:hyperlink w:anchor="_Toc71207079" w:history="1">
            <w:r w:rsidR="007D537C" w:rsidRPr="006A0EFB">
              <w:rPr>
                <w:rStyle w:val="Hyperlink"/>
                <w:rFonts w:cstheme="majorHAnsi"/>
                <w:i/>
                <w:iCs/>
                <w:noProof/>
              </w:rPr>
              <w:t>2.3 Support to Partnerships and Financing the 2030 Agenda</w:t>
            </w:r>
            <w:r w:rsidR="007D537C">
              <w:rPr>
                <w:noProof/>
                <w:webHidden/>
              </w:rPr>
              <w:tab/>
            </w:r>
            <w:r w:rsidR="007D537C">
              <w:rPr>
                <w:noProof/>
                <w:webHidden/>
              </w:rPr>
              <w:fldChar w:fldCharType="begin"/>
            </w:r>
            <w:r w:rsidR="007D537C">
              <w:rPr>
                <w:noProof/>
                <w:webHidden/>
              </w:rPr>
              <w:instrText xml:space="preserve"> PAGEREF _Toc71207079 \h </w:instrText>
            </w:r>
            <w:r w:rsidR="007D537C">
              <w:rPr>
                <w:noProof/>
                <w:webHidden/>
              </w:rPr>
            </w:r>
            <w:r w:rsidR="007D537C">
              <w:rPr>
                <w:noProof/>
                <w:webHidden/>
              </w:rPr>
              <w:fldChar w:fldCharType="separate"/>
            </w:r>
            <w:r w:rsidR="007D537C">
              <w:rPr>
                <w:noProof/>
                <w:webHidden/>
              </w:rPr>
              <w:t>20</w:t>
            </w:r>
            <w:r w:rsidR="007D537C">
              <w:rPr>
                <w:noProof/>
                <w:webHidden/>
              </w:rPr>
              <w:fldChar w:fldCharType="end"/>
            </w:r>
          </w:hyperlink>
        </w:p>
        <w:p w14:paraId="341E3BF3" w14:textId="54FD2D4C" w:rsidR="007D537C" w:rsidRDefault="00822BB4">
          <w:pPr>
            <w:pStyle w:val="TOC3"/>
            <w:tabs>
              <w:tab w:val="left" w:pos="1100"/>
              <w:tab w:val="right" w:leader="dot" w:pos="9350"/>
            </w:tabs>
            <w:rPr>
              <w:rFonts w:asciiTheme="minorHAnsi" w:eastAsiaTheme="minorEastAsia" w:hAnsiTheme="minorHAnsi" w:cstheme="minorBidi"/>
              <w:noProof/>
              <w:lang w:bidi="ar-SA"/>
            </w:rPr>
          </w:pPr>
          <w:hyperlink w:anchor="_Toc71207080" w:history="1">
            <w:r w:rsidR="007D537C" w:rsidRPr="006A0EFB">
              <w:rPr>
                <w:rStyle w:val="Hyperlink"/>
                <w:rFonts w:cstheme="majorHAnsi"/>
                <w:i/>
                <w:iCs/>
                <w:noProof/>
              </w:rPr>
              <w:t>2.3</w:t>
            </w:r>
            <w:r w:rsidR="007D537C">
              <w:rPr>
                <w:rFonts w:asciiTheme="minorHAnsi" w:eastAsiaTheme="minorEastAsia" w:hAnsiTheme="minorHAnsi" w:cstheme="minorBidi"/>
                <w:noProof/>
                <w:lang w:bidi="ar-SA"/>
              </w:rPr>
              <w:tab/>
            </w:r>
            <w:r w:rsidR="007D537C" w:rsidRPr="006A0EFB">
              <w:rPr>
                <w:rStyle w:val="Hyperlink"/>
                <w:rFonts w:cstheme="majorHAnsi"/>
                <w:i/>
                <w:iCs/>
                <w:noProof/>
              </w:rPr>
              <w:t>Results of the UN Working more and better together: UN Coherence, Effectiveness and Efficiency (2 pages)</w:t>
            </w:r>
            <w:r w:rsidR="007D537C">
              <w:rPr>
                <w:noProof/>
                <w:webHidden/>
              </w:rPr>
              <w:tab/>
            </w:r>
            <w:r w:rsidR="007D537C">
              <w:rPr>
                <w:noProof/>
                <w:webHidden/>
              </w:rPr>
              <w:fldChar w:fldCharType="begin"/>
            </w:r>
            <w:r w:rsidR="007D537C">
              <w:rPr>
                <w:noProof/>
                <w:webHidden/>
              </w:rPr>
              <w:instrText xml:space="preserve"> PAGEREF _Toc71207080 \h </w:instrText>
            </w:r>
            <w:r w:rsidR="007D537C">
              <w:rPr>
                <w:noProof/>
                <w:webHidden/>
              </w:rPr>
            </w:r>
            <w:r w:rsidR="007D537C">
              <w:rPr>
                <w:noProof/>
                <w:webHidden/>
              </w:rPr>
              <w:fldChar w:fldCharType="separate"/>
            </w:r>
            <w:r w:rsidR="007D537C">
              <w:rPr>
                <w:noProof/>
                <w:webHidden/>
              </w:rPr>
              <w:t>22</w:t>
            </w:r>
            <w:r w:rsidR="007D537C">
              <w:rPr>
                <w:noProof/>
                <w:webHidden/>
              </w:rPr>
              <w:fldChar w:fldCharType="end"/>
            </w:r>
          </w:hyperlink>
        </w:p>
        <w:p w14:paraId="06EEA09D" w14:textId="05F9D916" w:rsidR="007D537C" w:rsidRDefault="00822BB4">
          <w:pPr>
            <w:pStyle w:val="TOC3"/>
            <w:tabs>
              <w:tab w:val="left" w:pos="1100"/>
              <w:tab w:val="right" w:leader="dot" w:pos="9350"/>
            </w:tabs>
            <w:rPr>
              <w:rFonts w:asciiTheme="minorHAnsi" w:eastAsiaTheme="minorEastAsia" w:hAnsiTheme="minorHAnsi" w:cstheme="minorBidi"/>
              <w:noProof/>
              <w:lang w:bidi="ar-SA"/>
            </w:rPr>
          </w:pPr>
          <w:hyperlink w:anchor="_Toc71207081" w:history="1">
            <w:r w:rsidR="007D537C" w:rsidRPr="006A0EFB">
              <w:rPr>
                <w:rStyle w:val="Hyperlink"/>
                <w:rFonts w:cstheme="majorHAnsi"/>
                <w:i/>
                <w:iCs/>
                <w:noProof/>
              </w:rPr>
              <w:t>2.4</w:t>
            </w:r>
            <w:r w:rsidR="007D537C">
              <w:rPr>
                <w:rFonts w:asciiTheme="minorHAnsi" w:eastAsiaTheme="minorEastAsia" w:hAnsiTheme="minorHAnsi" w:cstheme="minorBidi"/>
                <w:noProof/>
                <w:lang w:bidi="ar-SA"/>
              </w:rPr>
              <w:tab/>
            </w:r>
            <w:r w:rsidR="007D537C" w:rsidRPr="006A0EFB">
              <w:rPr>
                <w:rStyle w:val="Hyperlink"/>
                <w:rFonts w:cstheme="majorHAnsi"/>
                <w:i/>
                <w:iCs/>
                <w:noProof/>
              </w:rPr>
              <w:t>Evaluations and Lessons Learnt</w:t>
            </w:r>
            <w:r w:rsidR="007D537C">
              <w:rPr>
                <w:noProof/>
                <w:webHidden/>
              </w:rPr>
              <w:tab/>
            </w:r>
            <w:r w:rsidR="007D537C">
              <w:rPr>
                <w:noProof/>
                <w:webHidden/>
              </w:rPr>
              <w:fldChar w:fldCharType="begin"/>
            </w:r>
            <w:r w:rsidR="007D537C">
              <w:rPr>
                <w:noProof/>
                <w:webHidden/>
              </w:rPr>
              <w:instrText xml:space="preserve"> PAGEREF _Toc71207081 \h </w:instrText>
            </w:r>
            <w:r w:rsidR="007D537C">
              <w:rPr>
                <w:noProof/>
                <w:webHidden/>
              </w:rPr>
            </w:r>
            <w:r w:rsidR="007D537C">
              <w:rPr>
                <w:noProof/>
                <w:webHidden/>
              </w:rPr>
              <w:fldChar w:fldCharType="separate"/>
            </w:r>
            <w:r w:rsidR="007D537C">
              <w:rPr>
                <w:noProof/>
                <w:webHidden/>
              </w:rPr>
              <w:t>22</w:t>
            </w:r>
            <w:r w:rsidR="007D537C">
              <w:rPr>
                <w:noProof/>
                <w:webHidden/>
              </w:rPr>
              <w:fldChar w:fldCharType="end"/>
            </w:r>
          </w:hyperlink>
        </w:p>
        <w:p w14:paraId="0B945784" w14:textId="1174A67A" w:rsidR="007D537C" w:rsidRDefault="00822BB4">
          <w:pPr>
            <w:pStyle w:val="TOC3"/>
            <w:tabs>
              <w:tab w:val="left" w:pos="1100"/>
              <w:tab w:val="right" w:leader="dot" w:pos="9350"/>
            </w:tabs>
            <w:rPr>
              <w:rFonts w:asciiTheme="minorHAnsi" w:eastAsiaTheme="minorEastAsia" w:hAnsiTheme="minorHAnsi" w:cstheme="minorBidi"/>
              <w:noProof/>
              <w:lang w:bidi="ar-SA"/>
            </w:rPr>
          </w:pPr>
          <w:hyperlink w:anchor="_Toc71207082" w:history="1">
            <w:r w:rsidR="007D537C" w:rsidRPr="006A0EFB">
              <w:rPr>
                <w:rStyle w:val="Hyperlink"/>
                <w:rFonts w:cstheme="majorHAnsi"/>
                <w:i/>
                <w:iCs/>
                <w:noProof/>
              </w:rPr>
              <w:t>2.5</w:t>
            </w:r>
            <w:r w:rsidR="007D537C">
              <w:rPr>
                <w:rFonts w:asciiTheme="minorHAnsi" w:eastAsiaTheme="minorEastAsia" w:hAnsiTheme="minorHAnsi" w:cstheme="minorBidi"/>
                <w:noProof/>
                <w:lang w:bidi="ar-SA"/>
              </w:rPr>
              <w:tab/>
            </w:r>
            <w:r w:rsidR="007D537C" w:rsidRPr="006A0EFB">
              <w:rPr>
                <w:rStyle w:val="Hyperlink"/>
                <w:rFonts w:cstheme="majorHAnsi"/>
                <w:i/>
                <w:iCs/>
                <w:noProof/>
              </w:rPr>
              <w:t>Financial Overview and Resource Mobilization</w:t>
            </w:r>
            <w:r w:rsidR="007D537C">
              <w:rPr>
                <w:noProof/>
                <w:webHidden/>
              </w:rPr>
              <w:tab/>
            </w:r>
            <w:r w:rsidR="007D537C">
              <w:rPr>
                <w:noProof/>
                <w:webHidden/>
              </w:rPr>
              <w:fldChar w:fldCharType="begin"/>
            </w:r>
            <w:r w:rsidR="007D537C">
              <w:rPr>
                <w:noProof/>
                <w:webHidden/>
              </w:rPr>
              <w:instrText xml:space="preserve"> PAGEREF _Toc71207082 \h </w:instrText>
            </w:r>
            <w:r w:rsidR="007D537C">
              <w:rPr>
                <w:noProof/>
                <w:webHidden/>
              </w:rPr>
            </w:r>
            <w:r w:rsidR="007D537C">
              <w:rPr>
                <w:noProof/>
                <w:webHidden/>
              </w:rPr>
              <w:fldChar w:fldCharType="separate"/>
            </w:r>
            <w:r w:rsidR="007D537C">
              <w:rPr>
                <w:noProof/>
                <w:webHidden/>
              </w:rPr>
              <w:t>25</w:t>
            </w:r>
            <w:r w:rsidR="007D537C">
              <w:rPr>
                <w:noProof/>
                <w:webHidden/>
              </w:rPr>
              <w:fldChar w:fldCharType="end"/>
            </w:r>
          </w:hyperlink>
        </w:p>
        <w:p w14:paraId="54EE2A6F" w14:textId="6F258594" w:rsidR="007D537C" w:rsidRDefault="00822BB4">
          <w:pPr>
            <w:pStyle w:val="TOC1"/>
            <w:tabs>
              <w:tab w:val="left" w:pos="440"/>
              <w:tab w:val="right" w:leader="dot" w:pos="9350"/>
            </w:tabs>
            <w:rPr>
              <w:rFonts w:asciiTheme="minorHAnsi" w:eastAsiaTheme="minorEastAsia" w:hAnsiTheme="minorHAnsi" w:cstheme="minorBidi"/>
              <w:noProof/>
              <w:lang w:bidi="ar-SA"/>
            </w:rPr>
          </w:pPr>
          <w:hyperlink w:anchor="_Toc71207083" w:history="1">
            <w:r w:rsidR="007D537C" w:rsidRPr="006A0EFB">
              <w:rPr>
                <w:rStyle w:val="Hyperlink"/>
                <w:rFonts w:cstheme="majorHAnsi"/>
                <w:b/>
                <w:bCs/>
                <w:noProof/>
                <w:w w:val="95"/>
              </w:rPr>
              <w:t>3</w:t>
            </w:r>
            <w:r w:rsidR="007D537C">
              <w:rPr>
                <w:rFonts w:asciiTheme="minorHAnsi" w:eastAsiaTheme="minorEastAsia" w:hAnsiTheme="minorHAnsi" w:cstheme="minorBidi"/>
                <w:noProof/>
                <w:lang w:bidi="ar-SA"/>
              </w:rPr>
              <w:tab/>
            </w:r>
            <w:r w:rsidR="007D537C" w:rsidRPr="006A0EFB">
              <w:rPr>
                <w:rStyle w:val="Hyperlink"/>
                <w:rFonts w:cstheme="majorHAnsi"/>
                <w:b/>
                <w:bCs/>
                <w:noProof/>
                <w:w w:val="95"/>
              </w:rPr>
              <w:t>CHAPTER 3: UNCT Key focus for next year</w:t>
            </w:r>
            <w:r w:rsidR="007D537C">
              <w:rPr>
                <w:noProof/>
                <w:webHidden/>
              </w:rPr>
              <w:tab/>
            </w:r>
            <w:r w:rsidR="007D537C">
              <w:rPr>
                <w:noProof/>
                <w:webHidden/>
              </w:rPr>
              <w:fldChar w:fldCharType="begin"/>
            </w:r>
            <w:r w:rsidR="007D537C">
              <w:rPr>
                <w:noProof/>
                <w:webHidden/>
              </w:rPr>
              <w:instrText xml:space="preserve"> PAGEREF _Toc71207083 \h </w:instrText>
            </w:r>
            <w:r w:rsidR="007D537C">
              <w:rPr>
                <w:noProof/>
                <w:webHidden/>
              </w:rPr>
            </w:r>
            <w:r w:rsidR="007D537C">
              <w:rPr>
                <w:noProof/>
                <w:webHidden/>
              </w:rPr>
              <w:fldChar w:fldCharType="separate"/>
            </w:r>
            <w:r w:rsidR="007D537C">
              <w:rPr>
                <w:noProof/>
                <w:webHidden/>
              </w:rPr>
              <w:t>26</w:t>
            </w:r>
            <w:r w:rsidR="007D537C">
              <w:rPr>
                <w:noProof/>
                <w:webHidden/>
              </w:rPr>
              <w:fldChar w:fldCharType="end"/>
            </w:r>
          </w:hyperlink>
        </w:p>
        <w:p w14:paraId="4FDEC91A" w14:textId="09726312" w:rsidR="007D537C" w:rsidRDefault="00822BB4">
          <w:pPr>
            <w:pStyle w:val="TOC1"/>
            <w:tabs>
              <w:tab w:val="left" w:pos="440"/>
              <w:tab w:val="right" w:leader="dot" w:pos="9350"/>
            </w:tabs>
            <w:rPr>
              <w:rFonts w:asciiTheme="minorHAnsi" w:eastAsiaTheme="minorEastAsia" w:hAnsiTheme="minorHAnsi" w:cstheme="minorBidi"/>
              <w:noProof/>
              <w:lang w:bidi="ar-SA"/>
            </w:rPr>
          </w:pPr>
          <w:hyperlink w:anchor="_Toc71207084" w:history="1">
            <w:r w:rsidR="007D537C" w:rsidRPr="006A0EFB">
              <w:rPr>
                <w:rStyle w:val="Hyperlink"/>
                <w:rFonts w:cstheme="majorHAnsi"/>
                <w:b/>
                <w:bCs/>
                <w:noProof/>
                <w:w w:val="95"/>
              </w:rPr>
              <w:t>4</w:t>
            </w:r>
            <w:r w:rsidR="007D537C">
              <w:rPr>
                <w:rFonts w:asciiTheme="minorHAnsi" w:eastAsiaTheme="minorEastAsia" w:hAnsiTheme="minorHAnsi" w:cstheme="minorBidi"/>
                <w:noProof/>
                <w:lang w:bidi="ar-SA"/>
              </w:rPr>
              <w:tab/>
            </w:r>
            <w:r w:rsidR="007D537C" w:rsidRPr="006A0EFB">
              <w:rPr>
                <w:rStyle w:val="Hyperlink"/>
                <w:rFonts w:cstheme="majorHAnsi"/>
                <w:b/>
                <w:bCs/>
                <w:noProof/>
                <w:w w:val="95"/>
              </w:rPr>
              <w:t>Annexes</w:t>
            </w:r>
            <w:r w:rsidR="007D537C">
              <w:rPr>
                <w:noProof/>
                <w:webHidden/>
              </w:rPr>
              <w:tab/>
            </w:r>
            <w:r w:rsidR="007D537C">
              <w:rPr>
                <w:noProof/>
                <w:webHidden/>
              </w:rPr>
              <w:fldChar w:fldCharType="begin"/>
            </w:r>
            <w:r w:rsidR="007D537C">
              <w:rPr>
                <w:noProof/>
                <w:webHidden/>
              </w:rPr>
              <w:instrText xml:space="preserve"> PAGEREF _Toc71207084 \h </w:instrText>
            </w:r>
            <w:r w:rsidR="007D537C">
              <w:rPr>
                <w:noProof/>
                <w:webHidden/>
              </w:rPr>
            </w:r>
            <w:r w:rsidR="007D537C">
              <w:rPr>
                <w:noProof/>
                <w:webHidden/>
              </w:rPr>
              <w:fldChar w:fldCharType="separate"/>
            </w:r>
            <w:r w:rsidR="007D537C">
              <w:rPr>
                <w:noProof/>
                <w:webHidden/>
              </w:rPr>
              <w:t>28</w:t>
            </w:r>
            <w:r w:rsidR="007D537C">
              <w:rPr>
                <w:noProof/>
                <w:webHidden/>
              </w:rPr>
              <w:fldChar w:fldCharType="end"/>
            </w:r>
          </w:hyperlink>
        </w:p>
        <w:p w14:paraId="30D5D00D" w14:textId="0A1F6E4E" w:rsidR="007D537C" w:rsidRDefault="00822BB4">
          <w:pPr>
            <w:pStyle w:val="TOC2"/>
            <w:tabs>
              <w:tab w:val="left" w:pos="660"/>
              <w:tab w:val="right" w:leader="dot" w:pos="9350"/>
            </w:tabs>
            <w:rPr>
              <w:rFonts w:asciiTheme="minorHAnsi" w:eastAsiaTheme="minorEastAsia" w:hAnsiTheme="minorHAnsi" w:cstheme="minorBidi"/>
              <w:noProof/>
              <w:lang w:bidi="ar-SA"/>
            </w:rPr>
          </w:pPr>
          <w:hyperlink w:anchor="_Toc71207085" w:history="1">
            <w:r w:rsidR="007D537C" w:rsidRPr="006A0EFB">
              <w:rPr>
                <w:rStyle w:val="Hyperlink"/>
                <w:noProof/>
              </w:rPr>
              <w:t>i.</w:t>
            </w:r>
            <w:r w:rsidR="007D537C">
              <w:rPr>
                <w:rFonts w:asciiTheme="minorHAnsi" w:eastAsiaTheme="minorEastAsia" w:hAnsiTheme="minorHAnsi" w:cstheme="minorBidi"/>
                <w:noProof/>
                <w:lang w:bidi="ar-SA"/>
              </w:rPr>
              <w:tab/>
            </w:r>
            <w:r w:rsidR="007D537C" w:rsidRPr="006A0EFB">
              <w:rPr>
                <w:rStyle w:val="Hyperlink"/>
                <w:noProof/>
              </w:rPr>
              <w:t>Indicators Performance</w:t>
            </w:r>
            <w:r w:rsidR="007D537C">
              <w:rPr>
                <w:noProof/>
                <w:webHidden/>
              </w:rPr>
              <w:tab/>
            </w:r>
            <w:r w:rsidR="007D537C">
              <w:rPr>
                <w:noProof/>
                <w:webHidden/>
              </w:rPr>
              <w:fldChar w:fldCharType="begin"/>
            </w:r>
            <w:r w:rsidR="007D537C">
              <w:rPr>
                <w:noProof/>
                <w:webHidden/>
              </w:rPr>
              <w:instrText xml:space="preserve"> PAGEREF _Toc71207085 \h </w:instrText>
            </w:r>
            <w:r w:rsidR="007D537C">
              <w:rPr>
                <w:noProof/>
                <w:webHidden/>
              </w:rPr>
            </w:r>
            <w:r w:rsidR="007D537C">
              <w:rPr>
                <w:noProof/>
                <w:webHidden/>
              </w:rPr>
              <w:fldChar w:fldCharType="separate"/>
            </w:r>
            <w:r w:rsidR="007D537C">
              <w:rPr>
                <w:noProof/>
                <w:webHidden/>
              </w:rPr>
              <w:t>28</w:t>
            </w:r>
            <w:r w:rsidR="007D537C">
              <w:rPr>
                <w:noProof/>
                <w:webHidden/>
              </w:rPr>
              <w:fldChar w:fldCharType="end"/>
            </w:r>
          </w:hyperlink>
        </w:p>
        <w:p w14:paraId="159B41E4" w14:textId="7D941555" w:rsidR="007D537C" w:rsidRDefault="00822BB4">
          <w:pPr>
            <w:pStyle w:val="TOC2"/>
            <w:tabs>
              <w:tab w:val="left" w:pos="660"/>
              <w:tab w:val="right" w:leader="dot" w:pos="9350"/>
            </w:tabs>
            <w:rPr>
              <w:rFonts w:asciiTheme="minorHAnsi" w:eastAsiaTheme="minorEastAsia" w:hAnsiTheme="minorHAnsi" w:cstheme="minorBidi"/>
              <w:noProof/>
              <w:lang w:bidi="ar-SA"/>
            </w:rPr>
          </w:pPr>
          <w:hyperlink w:anchor="_Toc71207086" w:history="1">
            <w:r w:rsidR="007D537C" w:rsidRPr="006A0EFB">
              <w:rPr>
                <w:rStyle w:val="Hyperlink"/>
                <w:noProof/>
              </w:rPr>
              <w:t>ii.</w:t>
            </w:r>
            <w:r w:rsidR="007D537C">
              <w:rPr>
                <w:rFonts w:asciiTheme="minorHAnsi" w:eastAsiaTheme="minorEastAsia" w:hAnsiTheme="minorHAnsi" w:cstheme="minorBidi"/>
                <w:noProof/>
                <w:lang w:bidi="ar-SA"/>
              </w:rPr>
              <w:tab/>
            </w:r>
            <w:r w:rsidR="007D537C" w:rsidRPr="006A0EFB">
              <w:rPr>
                <w:rStyle w:val="Hyperlink"/>
                <w:noProof/>
              </w:rPr>
              <w:t>Joint Programs</w:t>
            </w:r>
            <w:r w:rsidR="007D537C">
              <w:rPr>
                <w:noProof/>
                <w:webHidden/>
              </w:rPr>
              <w:tab/>
            </w:r>
            <w:r w:rsidR="007D537C">
              <w:rPr>
                <w:noProof/>
                <w:webHidden/>
              </w:rPr>
              <w:fldChar w:fldCharType="begin"/>
            </w:r>
            <w:r w:rsidR="007D537C">
              <w:rPr>
                <w:noProof/>
                <w:webHidden/>
              </w:rPr>
              <w:instrText xml:space="preserve"> PAGEREF _Toc71207086 \h </w:instrText>
            </w:r>
            <w:r w:rsidR="007D537C">
              <w:rPr>
                <w:noProof/>
                <w:webHidden/>
              </w:rPr>
            </w:r>
            <w:r w:rsidR="007D537C">
              <w:rPr>
                <w:noProof/>
                <w:webHidden/>
              </w:rPr>
              <w:fldChar w:fldCharType="separate"/>
            </w:r>
            <w:r w:rsidR="007D537C">
              <w:rPr>
                <w:noProof/>
                <w:webHidden/>
              </w:rPr>
              <w:t>0</w:t>
            </w:r>
            <w:r w:rsidR="007D537C">
              <w:rPr>
                <w:noProof/>
                <w:webHidden/>
              </w:rPr>
              <w:fldChar w:fldCharType="end"/>
            </w:r>
          </w:hyperlink>
        </w:p>
        <w:p w14:paraId="331986D2" w14:textId="003B8007" w:rsidR="009C68A6" w:rsidRPr="00F22F32" w:rsidRDefault="009C68A6">
          <w:r w:rsidRPr="00F22F32">
            <w:rPr>
              <w:b/>
              <w:bCs/>
              <w:noProof/>
            </w:rPr>
            <w:fldChar w:fldCharType="end"/>
          </w:r>
        </w:p>
      </w:sdtContent>
    </w:sdt>
    <w:p w14:paraId="67A1F4C3" w14:textId="4CD89062" w:rsidR="009C68A6" w:rsidRPr="00F22F32" w:rsidRDefault="009C68A6" w:rsidP="009C68A6"/>
    <w:p w14:paraId="2B27D7F2" w14:textId="056F92D0" w:rsidR="00A129F3" w:rsidRDefault="00A129F3">
      <w:pPr>
        <w:widowControl/>
        <w:autoSpaceDE/>
        <w:autoSpaceDN/>
        <w:spacing w:after="160" w:line="259" w:lineRule="auto"/>
      </w:pPr>
      <w:r>
        <w:br w:type="page"/>
      </w:r>
    </w:p>
    <w:p w14:paraId="788B28F8" w14:textId="6996F181" w:rsidR="00424DD0" w:rsidRPr="00F22F32" w:rsidRDefault="00F8717C" w:rsidP="009D725A">
      <w:pPr>
        <w:pStyle w:val="Heading1"/>
        <w:rPr>
          <w:b/>
          <w:bCs/>
          <w:color w:val="auto"/>
          <w:w w:val="95"/>
        </w:rPr>
      </w:pPr>
      <w:bookmarkStart w:id="0" w:name="_Toc71207059"/>
      <w:r w:rsidRPr="00F22F32">
        <w:rPr>
          <w:b/>
          <w:bCs/>
          <w:color w:val="auto"/>
          <w:w w:val="95"/>
        </w:rPr>
        <w:lastRenderedPageBreak/>
        <w:t>Acronyms</w:t>
      </w:r>
      <w:bookmarkEnd w:id="0"/>
    </w:p>
    <w:p w14:paraId="0DAFA137" w14:textId="77777777" w:rsidR="00424DD0" w:rsidRPr="00F22F32" w:rsidRDefault="00424DD0" w:rsidP="00424DD0">
      <w:pPr>
        <w:rPr>
          <w:sz w:val="20"/>
          <w:szCs w:val="20"/>
        </w:rPr>
      </w:pPr>
    </w:p>
    <w:tbl>
      <w:tblPr>
        <w:tblW w:w="8450" w:type="dxa"/>
        <w:tblLook w:val="04A0" w:firstRow="1" w:lastRow="0" w:firstColumn="1" w:lastColumn="0" w:noHBand="0" w:noVBand="1"/>
      </w:tblPr>
      <w:tblGrid>
        <w:gridCol w:w="1530"/>
        <w:gridCol w:w="6920"/>
      </w:tblGrid>
      <w:tr w:rsidR="00F22F32" w:rsidRPr="00F22F32" w14:paraId="6A8F877A" w14:textId="77777777" w:rsidTr="011CE676">
        <w:trPr>
          <w:trHeight w:val="290"/>
        </w:trPr>
        <w:tc>
          <w:tcPr>
            <w:tcW w:w="1530" w:type="dxa"/>
            <w:tcBorders>
              <w:top w:val="nil"/>
              <w:left w:val="nil"/>
              <w:bottom w:val="nil"/>
              <w:right w:val="nil"/>
            </w:tcBorders>
            <w:shd w:val="clear" w:color="auto" w:fill="auto"/>
            <w:noWrap/>
            <w:vAlign w:val="bottom"/>
            <w:hideMark/>
          </w:tcPr>
          <w:p w14:paraId="1CCFC20F"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APCOC</w:t>
            </w:r>
          </w:p>
        </w:tc>
        <w:tc>
          <w:tcPr>
            <w:tcW w:w="6920" w:type="dxa"/>
            <w:tcBorders>
              <w:top w:val="nil"/>
              <w:left w:val="nil"/>
              <w:bottom w:val="nil"/>
              <w:right w:val="nil"/>
            </w:tcBorders>
            <w:shd w:val="clear" w:color="auto" w:fill="auto"/>
            <w:noWrap/>
            <w:vAlign w:val="bottom"/>
            <w:hideMark/>
          </w:tcPr>
          <w:p w14:paraId="6954856D" w14:textId="3BA180BD" w:rsidR="00727D4F" w:rsidRPr="00F22F32" w:rsidRDefault="006D150A"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Anti-Poaching Coordination Center</w:t>
            </w:r>
          </w:p>
        </w:tc>
      </w:tr>
      <w:tr w:rsidR="00F22F32" w:rsidRPr="00F22F32" w14:paraId="59A7B0D9" w14:textId="77777777" w:rsidTr="011CE676">
        <w:trPr>
          <w:trHeight w:val="290"/>
        </w:trPr>
        <w:tc>
          <w:tcPr>
            <w:tcW w:w="1530" w:type="dxa"/>
            <w:tcBorders>
              <w:top w:val="nil"/>
              <w:left w:val="nil"/>
              <w:bottom w:val="nil"/>
              <w:right w:val="nil"/>
            </w:tcBorders>
            <w:shd w:val="clear" w:color="auto" w:fill="auto"/>
            <w:noWrap/>
            <w:vAlign w:val="bottom"/>
            <w:hideMark/>
          </w:tcPr>
          <w:p w14:paraId="1F4D4E34"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AQUA</w:t>
            </w:r>
          </w:p>
        </w:tc>
        <w:tc>
          <w:tcPr>
            <w:tcW w:w="6920" w:type="dxa"/>
            <w:tcBorders>
              <w:top w:val="nil"/>
              <w:left w:val="nil"/>
              <w:bottom w:val="nil"/>
              <w:right w:val="nil"/>
            </w:tcBorders>
            <w:shd w:val="clear" w:color="auto" w:fill="auto"/>
            <w:noWrap/>
            <w:vAlign w:val="bottom"/>
            <w:hideMark/>
          </w:tcPr>
          <w:p w14:paraId="73BDF688" w14:textId="4766ADF0" w:rsidR="00727D4F" w:rsidRPr="00F22F32" w:rsidRDefault="006D150A"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Environmental Quality Agency</w:t>
            </w:r>
          </w:p>
        </w:tc>
      </w:tr>
      <w:tr w:rsidR="00F22F32" w:rsidRPr="00F22F32" w14:paraId="348CF57C" w14:textId="77777777" w:rsidTr="011CE676">
        <w:trPr>
          <w:trHeight w:val="290"/>
        </w:trPr>
        <w:tc>
          <w:tcPr>
            <w:tcW w:w="1530" w:type="dxa"/>
            <w:tcBorders>
              <w:top w:val="nil"/>
              <w:left w:val="nil"/>
              <w:bottom w:val="nil"/>
              <w:right w:val="nil"/>
            </w:tcBorders>
            <w:shd w:val="clear" w:color="auto" w:fill="auto"/>
            <w:noWrap/>
            <w:vAlign w:val="bottom"/>
            <w:hideMark/>
          </w:tcPr>
          <w:p w14:paraId="11384EF9"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ART</w:t>
            </w:r>
          </w:p>
        </w:tc>
        <w:tc>
          <w:tcPr>
            <w:tcW w:w="6920" w:type="dxa"/>
            <w:tcBorders>
              <w:top w:val="nil"/>
              <w:left w:val="nil"/>
              <w:bottom w:val="nil"/>
              <w:right w:val="nil"/>
            </w:tcBorders>
            <w:shd w:val="clear" w:color="auto" w:fill="auto"/>
            <w:noWrap/>
            <w:vAlign w:val="bottom"/>
            <w:hideMark/>
          </w:tcPr>
          <w:p w14:paraId="383A6DA4" w14:textId="6AAEEC8E" w:rsidR="00727D4F" w:rsidRPr="00F22F32" w:rsidRDefault="004D5A62"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Anti-Retroviral</w:t>
            </w:r>
            <w:r w:rsidR="00727D4F" w:rsidRPr="00F22F32">
              <w:rPr>
                <w:rFonts w:ascii="Calibri" w:eastAsia="Times New Roman" w:hAnsi="Calibri" w:cs="Calibri"/>
                <w:sz w:val="20"/>
                <w:szCs w:val="20"/>
                <w:lang w:bidi="ar-SA"/>
              </w:rPr>
              <w:t xml:space="preserve"> Treatment </w:t>
            </w:r>
          </w:p>
        </w:tc>
      </w:tr>
      <w:tr w:rsidR="00F22F32" w:rsidRPr="00F22F32" w14:paraId="6EC425DD" w14:textId="77777777" w:rsidTr="011CE676">
        <w:trPr>
          <w:trHeight w:val="290"/>
        </w:trPr>
        <w:tc>
          <w:tcPr>
            <w:tcW w:w="1530" w:type="dxa"/>
            <w:tcBorders>
              <w:top w:val="nil"/>
              <w:left w:val="nil"/>
              <w:bottom w:val="nil"/>
              <w:right w:val="nil"/>
            </w:tcBorders>
            <w:shd w:val="clear" w:color="auto" w:fill="auto"/>
            <w:noWrap/>
            <w:vAlign w:val="bottom"/>
            <w:hideMark/>
          </w:tcPr>
          <w:p w14:paraId="1EB265C6"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ASR</w:t>
            </w:r>
          </w:p>
        </w:tc>
        <w:tc>
          <w:tcPr>
            <w:tcW w:w="6920" w:type="dxa"/>
            <w:tcBorders>
              <w:top w:val="nil"/>
              <w:left w:val="nil"/>
              <w:bottom w:val="nil"/>
              <w:right w:val="nil"/>
            </w:tcBorders>
            <w:shd w:val="clear" w:color="auto" w:fill="auto"/>
            <w:noWrap/>
            <w:vAlign w:val="bottom"/>
            <w:hideMark/>
          </w:tcPr>
          <w:p w14:paraId="3CF71A99"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Accelerate School Readiness Programme</w:t>
            </w:r>
          </w:p>
        </w:tc>
      </w:tr>
      <w:tr w:rsidR="00F22F32" w:rsidRPr="00F22F32" w14:paraId="5417D5BB" w14:textId="77777777" w:rsidTr="011CE676">
        <w:trPr>
          <w:trHeight w:val="290"/>
        </w:trPr>
        <w:tc>
          <w:tcPr>
            <w:tcW w:w="1530" w:type="dxa"/>
            <w:tcBorders>
              <w:top w:val="nil"/>
              <w:left w:val="nil"/>
              <w:bottom w:val="nil"/>
              <w:right w:val="nil"/>
            </w:tcBorders>
            <w:shd w:val="clear" w:color="auto" w:fill="auto"/>
            <w:noWrap/>
            <w:vAlign w:val="bottom"/>
            <w:hideMark/>
          </w:tcPr>
          <w:p w14:paraId="75ED77A8"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BBB</w:t>
            </w:r>
          </w:p>
        </w:tc>
        <w:tc>
          <w:tcPr>
            <w:tcW w:w="6920" w:type="dxa"/>
            <w:tcBorders>
              <w:top w:val="nil"/>
              <w:left w:val="nil"/>
              <w:bottom w:val="nil"/>
              <w:right w:val="nil"/>
            </w:tcBorders>
            <w:shd w:val="clear" w:color="auto" w:fill="auto"/>
            <w:noWrap/>
            <w:vAlign w:val="bottom"/>
            <w:hideMark/>
          </w:tcPr>
          <w:p w14:paraId="32146949" w14:textId="45010132" w:rsidR="00727D4F" w:rsidRPr="00F22F32" w:rsidRDefault="006D150A"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Building Back Better</w:t>
            </w:r>
          </w:p>
        </w:tc>
      </w:tr>
      <w:tr w:rsidR="00F22F32" w:rsidRPr="00F22F32" w14:paraId="5E85A30D" w14:textId="77777777" w:rsidTr="011CE676">
        <w:trPr>
          <w:trHeight w:val="290"/>
        </w:trPr>
        <w:tc>
          <w:tcPr>
            <w:tcW w:w="1530" w:type="dxa"/>
            <w:tcBorders>
              <w:top w:val="nil"/>
              <w:left w:val="nil"/>
              <w:bottom w:val="nil"/>
              <w:right w:val="nil"/>
            </w:tcBorders>
            <w:shd w:val="clear" w:color="auto" w:fill="auto"/>
            <w:noWrap/>
            <w:vAlign w:val="bottom"/>
            <w:hideMark/>
          </w:tcPr>
          <w:p w14:paraId="316F5A53"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BDS</w:t>
            </w:r>
          </w:p>
        </w:tc>
        <w:tc>
          <w:tcPr>
            <w:tcW w:w="6920" w:type="dxa"/>
            <w:tcBorders>
              <w:top w:val="nil"/>
              <w:left w:val="nil"/>
              <w:bottom w:val="nil"/>
              <w:right w:val="nil"/>
            </w:tcBorders>
            <w:shd w:val="clear" w:color="auto" w:fill="auto"/>
            <w:noWrap/>
            <w:vAlign w:val="bottom"/>
            <w:hideMark/>
          </w:tcPr>
          <w:p w14:paraId="17E8F181"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Business Development Services</w:t>
            </w:r>
          </w:p>
        </w:tc>
      </w:tr>
      <w:tr w:rsidR="00F22F32" w:rsidRPr="00F22F32" w14:paraId="11B77369" w14:textId="77777777" w:rsidTr="011CE676">
        <w:trPr>
          <w:trHeight w:val="290"/>
        </w:trPr>
        <w:tc>
          <w:tcPr>
            <w:tcW w:w="1530" w:type="dxa"/>
            <w:tcBorders>
              <w:top w:val="nil"/>
              <w:left w:val="nil"/>
              <w:bottom w:val="nil"/>
              <w:right w:val="nil"/>
            </w:tcBorders>
            <w:shd w:val="clear" w:color="auto" w:fill="auto"/>
            <w:noWrap/>
            <w:vAlign w:val="bottom"/>
            <w:hideMark/>
          </w:tcPr>
          <w:p w14:paraId="47CD049C"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CBO</w:t>
            </w:r>
          </w:p>
        </w:tc>
        <w:tc>
          <w:tcPr>
            <w:tcW w:w="6920" w:type="dxa"/>
            <w:tcBorders>
              <w:top w:val="nil"/>
              <w:left w:val="nil"/>
              <w:bottom w:val="nil"/>
              <w:right w:val="nil"/>
            </w:tcBorders>
            <w:shd w:val="clear" w:color="auto" w:fill="auto"/>
            <w:noWrap/>
            <w:vAlign w:val="bottom"/>
            <w:hideMark/>
          </w:tcPr>
          <w:p w14:paraId="1F36BB2D"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Community Based Organizations</w:t>
            </w:r>
          </w:p>
        </w:tc>
      </w:tr>
      <w:tr w:rsidR="00F22F32" w:rsidRPr="00F22F32" w14:paraId="563DAA02" w14:textId="77777777" w:rsidTr="011CE676">
        <w:trPr>
          <w:trHeight w:val="290"/>
        </w:trPr>
        <w:tc>
          <w:tcPr>
            <w:tcW w:w="1530" w:type="dxa"/>
            <w:tcBorders>
              <w:top w:val="nil"/>
              <w:left w:val="nil"/>
              <w:bottom w:val="nil"/>
              <w:right w:val="nil"/>
            </w:tcBorders>
            <w:shd w:val="clear" w:color="auto" w:fill="auto"/>
            <w:noWrap/>
            <w:vAlign w:val="bottom"/>
            <w:hideMark/>
          </w:tcPr>
          <w:p w14:paraId="45D33040"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CCA</w:t>
            </w:r>
          </w:p>
        </w:tc>
        <w:tc>
          <w:tcPr>
            <w:tcW w:w="6920" w:type="dxa"/>
            <w:tcBorders>
              <w:top w:val="nil"/>
              <w:left w:val="nil"/>
              <w:bottom w:val="nil"/>
              <w:right w:val="nil"/>
            </w:tcBorders>
            <w:shd w:val="clear" w:color="auto" w:fill="auto"/>
            <w:noWrap/>
            <w:vAlign w:val="bottom"/>
            <w:hideMark/>
          </w:tcPr>
          <w:p w14:paraId="51EEEE6D" w14:textId="32C31C24" w:rsidR="00727D4F" w:rsidRPr="00F22F32" w:rsidRDefault="006D150A"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Common Country Analysis / Climate Change Adaptation</w:t>
            </w:r>
          </w:p>
        </w:tc>
      </w:tr>
      <w:tr w:rsidR="00F22F32" w:rsidRPr="00F22F32" w14:paraId="13201329" w14:textId="77777777" w:rsidTr="011CE676">
        <w:trPr>
          <w:trHeight w:val="290"/>
        </w:trPr>
        <w:tc>
          <w:tcPr>
            <w:tcW w:w="1530" w:type="dxa"/>
            <w:tcBorders>
              <w:top w:val="nil"/>
              <w:left w:val="nil"/>
              <w:bottom w:val="nil"/>
              <w:right w:val="nil"/>
            </w:tcBorders>
            <w:shd w:val="clear" w:color="auto" w:fill="auto"/>
            <w:noWrap/>
            <w:vAlign w:val="bottom"/>
            <w:hideMark/>
          </w:tcPr>
          <w:p w14:paraId="16AFE379"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CCT</w:t>
            </w:r>
          </w:p>
        </w:tc>
        <w:tc>
          <w:tcPr>
            <w:tcW w:w="6920" w:type="dxa"/>
            <w:tcBorders>
              <w:top w:val="nil"/>
              <w:left w:val="nil"/>
              <w:bottom w:val="nil"/>
              <w:right w:val="nil"/>
            </w:tcBorders>
            <w:shd w:val="clear" w:color="auto" w:fill="auto"/>
            <w:noWrap/>
            <w:vAlign w:val="bottom"/>
            <w:hideMark/>
          </w:tcPr>
          <w:p w14:paraId="74B65D24" w14:textId="4A595B1A"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 xml:space="preserve">Tripartite </w:t>
            </w:r>
            <w:r w:rsidR="009F2E10" w:rsidRPr="00F22F32">
              <w:rPr>
                <w:rFonts w:ascii="Calibri" w:eastAsia="Times New Roman" w:hAnsi="Calibri" w:cs="Calibri"/>
                <w:sz w:val="20"/>
                <w:szCs w:val="20"/>
                <w:lang w:bidi="ar-SA"/>
              </w:rPr>
              <w:t>Labor</w:t>
            </w:r>
            <w:r w:rsidRPr="00F22F32">
              <w:rPr>
                <w:rFonts w:ascii="Calibri" w:eastAsia="Times New Roman" w:hAnsi="Calibri" w:cs="Calibri"/>
                <w:sz w:val="20"/>
                <w:szCs w:val="20"/>
                <w:lang w:bidi="ar-SA"/>
              </w:rPr>
              <w:t xml:space="preserve"> Advisory Committee</w:t>
            </w:r>
          </w:p>
        </w:tc>
      </w:tr>
      <w:tr w:rsidR="00F22F32" w:rsidRPr="00F22F32" w14:paraId="23AB637F" w14:textId="77777777" w:rsidTr="011CE676">
        <w:trPr>
          <w:trHeight w:val="290"/>
        </w:trPr>
        <w:tc>
          <w:tcPr>
            <w:tcW w:w="1530" w:type="dxa"/>
            <w:tcBorders>
              <w:top w:val="nil"/>
              <w:left w:val="nil"/>
              <w:bottom w:val="nil"/>
              <w:right w:val="nil"/>
            </w:tcBorders>
            <w:shd w:val="clear" w:color="auto" w:fill="auto"/>
            <w:noWrap/>
            <w:vAlign w:val="bottom"/>
            <w:hideMark/>
          </w:tcPr>
          <w:p w14:paraId="508BC0B8"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CEGRD</w:t>
            </w:r>
          </w:p>
        </w:tc>
        <w:tc>
          <w:tcPr>
            <w:tcW w:w="6920" w:type="dxa"/>
            <w:tcBorders>
              <w:top w:val="nil"/>
              <w:left w:val="nil"/>
              <w:bottom w:val="nil"/>
              <w:right w:val="nil"/>
            </w:tcBorders>
            <w:shd w:val="clear" w:color="auto" w:fill="auto"/>
            <w:noWrap/>
            <w:vAlign w:val="bottom"/>
            <w:hideMark/>
          </w:tcPr>
          <w:p w14:paraId="1C6D2EDC" w14:textId="37839CB2" w:rsidR="00727D4F" w:rsidRPr="00F22F32" w:rsidRDefault="006D150A" w:rsidP="00727D4F">
            <w:pPr>
              <w:widowControl/>
              <w:autoSpaceDE/>
              <w:autoSpaceDN/>
              <w:rPr>
                <w:rFonts w:ascii="Calibri" w:eastAsia="Times New Roman" w:hAnsi="Calibri" w:cs="Calibri"/>
                <w:sz w:val="20"/>
                <w:szCs w:val="20"/>
                <w:lang w:bidi="ar-SA"/>
              </w:rPr>
            </w:pPr>
            <w:r w:rsidRPr="00F22F32">
              <w:rPr>
                <w:rFonts w:asciiTheme="majorHAnsi" w:hAnsiTheme="majorHAnsi" w:cstheme="majorHAnsi"/>
                <w:sz w:val="20"/>
                <w:szCs w:val="20"/>
              </w:rPr>
              <w:t>Disaster Risk Management School Committees</w:t>
            </w:r>
          </w:p>
        </w:tc>
      </w:tr>
      <w:tr w:rsidR="00F22F32" w:rsidRPr="00F22F32" w14:paraId="58089845" w14:textId="77777777" w:rsidTr="011CE676">
        <w:trPr>
          <w:trHeight w:val="290"/>
        </w:trPr>
        <w:tc>
          <w:tcPr>
            <w:tcW w:w="1530" w:type="dxa"/>
            <w:tcBorders>
              <w:top w:val="nil"/>
              <w:left w:val="nil"/>
              <w:bottom w:val="nil"/>
              <w:right w:val="nil"/>
            </w:tcBorders>
            <w:shd w:val="clear" w:color="auto" w:fill="auto"/>
            <w:noWrap/>
            <w:vAlign w:val="bottom"/>
            <w:hideMark/>
          </w:tcPr>
          <w:p w14:paraId="0114D41C"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CENOE</w:t>
            </w:r>
          </w:p>
        </w:tc>
        <w:tc>
          <w:tcPr>
            <w:tcW w:w="6920" w:type="dxa"/>
            <w:tcBorders>
              <w:top w:val="nil"/>
              <w:left w:val="nil"/>
              <w:bottom w:val="nil"/>
              <w:right w:val="nil"/>
            </w:tcBorders>
            <w:shd w:val="clear" w:color="auto" w:fill="auto"/>
            <w:noWrap/>
            <w:vAlign w:val="bottom"/>
            <w:hideMark/>
          </w:tcPr>
          <w:p w14:paraId="1719E8E7" w14:textId="5601C28F" w:rsidR="00727D4F" w:rsidRPr="00F22F32" w:rsidRDefault="006D150A"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National Operative Emergency Center</w:t>
            </w:r>
          </w:p>
        </w:tc>
      </w:tr>
      <w:tr w:rsidR="00F22F32" w:rsidRPr="00F22F32" w14:paraId="5E2F5DAF" w14:textId="77777777" w:rsidTr="011CE676">
        <w:trPr>
          <w:trHeight w:val="290"/>
        </w:trPr>
        <w:tc>
          <w:tcPr>
            <w:tcW w:w="1530" w:type="dxa"/>
            <w:tcBorders>
              <w:top w:val="nil"/>
              <w:left w:val="nil"/>
              <w:bottom w:val="nil"/>
              <w:right w:val="nil"/>
            </w:tcBorders>
            <w:shd w:val="clear" w:color="auto" w:fill="auto"/>
            <w:noWrap/>
            <w:vAlign w:val="bottom"/>
            <w:hideMark/>
          </w:tcPr>
          <w:p w14:paraId="5CC676CE"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CNSC</w:t>
            </w:r>
          </w:p>
        </w:tc>
        <w:tc>
          <w:tcPr>
            <w:tcW w:w="6920" w:type="dxa"/>
            <w:tcBorders>
              <w:top w:val="nil"/>
              <w:left w:val="nil"/>
              <w:bottom w:val="nil"/>
              <w:right w:val="nil"/>
            </w:tcBorders>
            <w:shd w:val="clear" w:color="auto" w:fill="auto"/>
            <w:noWrap/>
            <w:vAlign w:val="bottom"/>
            <w:hideMark/>
          </w:tcPr>
          <w:p w14:paraId="44C89600"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National AIDS Council</w:t>
            </w:r>
          </w:p>
        </w:tc>
      </w:tr>
      <w:tr w:rsidR="00F22F32" w:rsidRPr="00F22F32" w14:paraId="4CD6D84A" w14:textId="77777777" w:rsidTr="011CE676">
        <w:trPr>
          <w:trHeight w:val="290"/>
        </w:trPr>
        <w:tc>
          <w:tcPr>
            <w:tcW w:w="1530" w:type="dxa"/>
            <w:tcBorders>
              <w:top w:val="nil"/>
              <w:left w:val="nil"/>
              <w:bottom w:val="nil"/>
              <w:right w:val="nil"/>
            </w:tcBorders>
            <w:shd w:val="clear" w:color="auto" w:fill="auto"/>
            <w:noWrap/>
            <w:vAlign w:val="bottom"/>
            <w:hideMark/>
          </w:tcPr>
          <w:p w14:paraId="24B42502"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CSE</w:t>
            </w:r>
          </w:p>
        </w:tc>
        <w:tc>
          <w:tcPr>
            <w:tcW w:w="6920" w:type="dxa"/>
            <w:tcBorders>
              <w:top w:val="nil"/>
              <w:left w:val="nil"/>
              <w:bottom w:val="nil"/>
              <w:right w:val="nil"/>
            </w:tcBorders>
            <w:shd w:val="clear" w:color="auto" w:fill="auto"/>
            <w:noWrap/>
            <w:vAlign w:val="bottom"/>
            <w:hideMark/>
          </w:tcPr>
          <w:p w14:paraId="2DFC8DC0"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Comprehensive Sexuality Education</w:t>
            </w:r>
          </w:p>
        </w:tc>
      </w:tr>
      <w:tr w:rsidR="00F22F32" w:rsidRPr="00F22F32" w14:paraId="3AD92DBD" w14:textId="77777777" w:rsidTr="011CE676">
        <w:trPr>
          <w:trHeight w:val="290"/>
        </w:trPr>
        <w:tc>
          <w:tcPr>
            <w:tcW w:w="1530" w:type="dxa"/>
            <w:tcBorders>
              <w:top w:val="nil"/>
              <w:left w:val="nil"/>
              <w:bottom w:val="nil"/>
              <w:right w:val="nil"/>
            </w:tcBorders>
            <w:shd w:val="clear" w:color="auto" w:fill="auto"/>
            <w:noWrap/>
            <w:vAlign w:val="bottom"/>
            <w:hideMark/>
          </w:tcPr>
          <w:p w14:paraId="69346B0B"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 xml:space="preserve">CSO </w:t>
            </w:r>
          </w:p>
        </w:tc>
        <w:tc>
          <w:tcPr>
            <w:tcW w:w="6920" w:type="dxa"/>
            <w:tcBorders>
              <w:top w:val="nil"/>
              <w:left w:val="nil"/>
              <w:bottom w:val="nil"/>
              <w:right w:val="nil"/>
            </w:tcBorders>
            <w:shd w:val="clear" w:color="auto" w:fill="auto"/>
            <w:noWrap/>
            <w:vAlign w:val="bottom"/>
            <w:hideMark/>
          </w:tcPr>
          <w:p w14:paraId="1AFB6EDF"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Civil Society Organizations</w:t>
            </w:r>
          </w:p>
        </w:tc>
      </w:tr>
      <w:tr w:rsidR="00F22F32" w:rsidRPr="00F22F32" w14:paraId="2AE8DE60" w14:textId="77777777" w:rsidTr="011CE676">
        <w:trPr>
          <w:trHeight w:val="290"/>
        </w:trPr>
        <w:tc>
          <w:tcPr>
            <w:tcW w:w="1530" w:type="dxa"/>
            <w:tcBorders>
              <w:top w:val="nil"/>
              <w:left w:val="nil"/>
              <w:bottom w:val="nil"/>
              <w:right w:val="nil"/>
            </w:tcBorders>
            <w:shd w:val="clear" w:color="auto" w:fill="auto"/>
            <w:noWrap/>
            <w:vAlign w:val="bottom"/>
            <w:hideMark/>
          </w:tcPr>
          <w:p w14:paraId="38BC8580"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DCP</w:t>
            </w:r>
          </w:p>
        </w:tc>
        <w:tc>
          <w:tcPr>
            <w:tcW w:w="6920" w:type="dxa"/>
            <w:tcBorders>
              <w:top w:val="nil"/>
              <w:left w:val="nil"/>
              <w:bottom w:val="nil"/>
              <w:right w:val="nil"/>
            </w:tcBorders>
            <w:shd w:val="clear" w:color="auto" w:fill="auto"/>
            <w:noWrap/>
            <w:vAlign w:val="bottom"/>
            <w:hideMark/>
          </w:tcPr>
          <w:p w14:paraId="335A512C" w14:textId="17A55DC2" w:rsidR="00727D4F" w:rsidRPr="00F22F32" w:rsidRDefault="006D150A"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 xml:space="preserve">Development Partners’ Group </w:t>
            </w:r>
          </w:p>
        </w:tc>
      </w:tr>
      <w:tr w:rsidR="00F22F32" w:rsidRPr="00F22F32" w14:paraId="12ED8C82" w14:textId="77777777" w:rsidTr="011CE676">
        <w:trPr>
          <w:trHeight w:val="290"/>
        </w:trPr>
        <w:tc>
          <w:tcPr>
            <w:tcW w:w="1530" w:type="dxa"/>
            <w:tcBorders>
              <w:top w:val="nil"/>
              <w:left w:val="nil"/>
              <w:bottom w:val="nil"/>
              <w:right w:val="nil"/>
            </w:tcBorders>
            <w:shd w:val="clear" w:color="auto" w:fill="auto"/>
            <w:noWrap/>
            <w:vAlign w:val="bottom"/>
            <w:hideMark/>
          </w:tcPr>
          <w:p w14:paraId="42A7D71A"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DNOMT</w:t>
            </w:r>
          </w:p>
        </w:tc>
        <w:tc>
          <w:tcPr>
            <w:tcW w:w="6920" w:type="dxa"/>
            <w:tcBorders>
              <w:top w:val="nil"/>
              <w:left w:val="nil"/>
              <w:bottom w:val="nil"/>
              <w:right w:val="nil"/>
            </w:tcBorders>
            <w:shd w:val="clear" w:color="auto" w:fill="auto"/>
            <w:noWrap/>
            <w:vAlign w:val="bottom"/>
            <w:hideMark/>
          </w:tcPr>
          <w:p w14:paraId="3BF3CC33" w14:textId="5DCB22A4" w:rsidR="00727D4F" w:rsidRPr="00F22F32" w:rsidRDefault="00727D4F" w:rsidP="009F2E10">
            <w:pPr>
              <w:widowControl/>
              <w:autoSpaceDE/>
              <w:autoSpaceDN/>
              <w:jc w:val="both"/>
              <w:rPr>
                <w:rFonts w:ascii="Calibri" w:eastAsia="Times New Roman" w:hAnsi="Calibri" w:cs="Calibri"/>
                <w:sz w:val="20"/>
                <w:szCs w:val="20"/>
                <w:lang w:bidi="ar-SA"/>
              </w:rPr>
            </w:pPr>
            <w:r w:rsidRPr="00F22F32">
              <w:rPr>
                <w:rFonts w:ascii="Calibri" w:eastAsia="Times New Roman" w:hAnsi="Calibri" w:cs="Calibri"/>
                <w:sz w:val="20"/>
                <w:szCs w:val="20"/>
                <w:lang w:bidi="ar-SA"/>
              </w:rPr>
              <w:t>National Directorate of</w:t>
            </w:r>
            <w:r w:rsidR="009F2E10" w:rsidRPr="00F22F32">
              <w:rPr>
                <w:rFonts w:ascii="Calibri" w:eastAsia="Times New Roman" w:hAnsi="Calibri" w:cs="Calibri"/>
                <w:sz w:val="20"/>
                <w:szCs w:val="20"/>
                <w:lang w:bidi="ar-SA"/>
              </w:rPr>
              <w:t xml:space="preserve"> Labor</w:t>
            </w:r>
            <w:r w:rsidRPr="00F22F32">
              <w:rPr>
                <w:rFonts w:ascii="Calibri" w:eastAsia="Times New Roman" w:hAnsi="Calibri" w:cs="Calibri"/>
                <w:sz w:val="20"/>
                <w:szCs w:val="20"/>
                <w:lang w:bidi="ar-SA"/>
              </w:rPr>
              <w:t xml:space="preserve"> </w:t>
            </w:r>
            <w:r w:rsidR="009F2E10" w:rsidRPr="00F22F32">
              <w:rPr>
                <w:rFonts w:ascii="Calibri" w:eastAsia="Times New Roman" w:hAnsi="Calibri" w:cs="Calibri"/>
                <w:sz w:val="20"/>
                <w:szCs w:val="20"/>
                <w:lang w:bidi="ar-SA"/>
              </w:rPr>
              <w:t xml:space="preserve">Market </w:t>
            </w:r>
            <w:r w:rsidRPr="00F22F32">
              <w:rPr>
                <w:rFonts w:ascii="Calibri" w:eastAsia="Times New Roman" w:hAnsi="Calibri" w:cs="Calibri"/>
                <w:sz w:val="20"/>
                <w:szCs w:val="20"/>
                <w:lang w:bidi="ar-SA"/>
              </w:rPr>
              <w:t>Observatory</w:t>
            </w:r>
          </w:p>
        </w:tc>
      </w:tr>
      <w:tr w:rsidR="00F22F32" w:rsidRPr="00F22F32" w14:paraId="299108BE" w14:textId="77777777" w:rsidTr="011CE676">
        <w:trPr>
          <w:trHeight w:val="290"/>
        </w:trPr>
        <w:tc>
          <w:tcPr>
            <w:tcW w:w="1530" w:type="dxa"/>
            <w:tcBorders>
              <w:top w:val="nil"/>
              <w:left w:val="nil"/>
              <w:bottom w:val="nil"/>
              <w:right w:val="nil"/>
            </w:tcBorders>
            <w:shd w:val="clear" w:color="auto" w:fill="auto"/>
            <w:noWrap/>
            <w:vAlign w:val="bottom"/>
            <w:hideMark/>
          </w:tcPr>
          <w:p w14:paraId="2DEF8441"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EESE</w:t>
            </w:r>
          </w:p>
        </w:tc>
        <w:tc>
          <w:tcPr>
            <w:tcW w:w="6920" w:type="dxa"/>
            <w:tcBorders>
              <w:top w:val="nil"/>
              <w:left w:val="nil"/>
              <w:bottom w:val="nil"/>
              <w:right w:val="nil"/>
            </w:tcBorders>
            <w:shd w:val="clear" w:color="auto" w:fill="auto"/>
            <w:noWrap/>
            <w:vAlign w:val="bottom"/>
            <w:hideMark/>
          </w:tcPr>
          <w:p w14:paraId="58B16C35"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Enabling Environment for Sustainable Enterprises</w:t>
            </w:r>
          </w:p>
        </w:tc>
      </w:tr>
      <w:tr w:rsidR="00F22F32" w:rsidRPr="00F22F32" w14:paraId="34E40388" w14:textId="77777777" w:rsidTr="011CE676">
        <w:trPr>
          <w:trHeight w:val="290"/>
        </w:trPr>
        <w:tc>
          <w:tcPr>
            <w:tcW w:w="1530" w:type="dxa"/>
            <w:tcBorders>
              <w:top w:val="nil"/>
              <w:left w:val="nil"/>
              <w:bottom w:val="nil"/>
              <w:right w:val="nil"/>
            </w:tcBorders>
            <w:shd w:val="clear" w:color="auto" w:fill="auto"/>
            <w:noWrap/>
            <w:vAlign w:val="bottom"/>
            <w:hideMark/>
          </w:tcPr>
          <w:p w14:paraId="3C09328C"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ENAP</w:t>
            </w:r>
          </w:p>
        </w:tc>
        <w:tc>
          <w:tcPr>
            <w:tcW w:w="6920" w:type="dxa"/>
            <w:tcBorders>
              <w:top w:val="nil"/>
              <w:left w:val="nil"/>
              <w:bottom w:val="nil"/>
              <w:right w:val="nil"/>
            </w:tcBorders>
            <w:shd w:val="clear" w:color="auto" w:fill="auto"/>
            <w:noWrap/>
            <w:vAlign w:val="bottom"/>
            <w:hideMark/>
          </w:tcPr>
          <w:p w14:paraId="47E4F050" w14:textId="070461D8"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 xml:space="preserve">Every </w:t>
            </w:r>
            <w:r w:rsidR="004D5A62" w:rsidRPr="00F22F32">
              <w:rPr>
                <w:rFonts w:ascii="Calibri" w:eastAsia="Times New Roman" w:hAnsi="Calibri" w:cs="Calibri"/>
                <w:sz w:val="20"/>
                <w:szCs w:val="20"/>
                <w:lang w:bidi="ar-SA"/>
              </w:rPr>
              <w:t>Newborn</w:t>
            </w:r>
            <w:r w:rsidRPr="00F22F32">
              <w:rPr>
                <w:rFonts w:ascii="Calibri" w:eastAsia="Times New Roman" w:hAnsi="Calibri" w:cs="Calibri"/>
                <w:sz w:val="20"/>
                <w:szCs w:val="20"/>
                <w:lang w:bidi="ar-SA"/>
              </w:rPr>
              <w:t xml:space="preserve"> Action</w:t>
            </w:r>
          </w:p>
        </w:tc>
      </w:tr>
      <w:tr w:rsidR="00F22F32" w:rsidRPr="00F22F32" w14:paraId="7400BCFC" w14:textId="77777777" w:rsidTr="011CE676">
        <w:trPr>
          <w:trHeight w:val="290"/>
        </w:trPr>
        <w:tc>
          <w:tcPr>
            <w:tcW w:w="1530" w:type="dxa"/>
            <w:tcBorders>
              <w:top w:val="nil"/>
              <w:left w:val="nil"/>
              <w:bottom w:val="nil"/>
              <w:right w:val="nil"/>
            </w:tcBorders>
            <w:shd w:val="clear" w:color="auto" w:fill="auto"/>
            <w:noWrap/>
            <w:vAlign w:val="bottom"/>
            <w:hideMark/>
          </w:tcPr>
          <w:p w14:paraId="2A684369"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FAW</w:t>
            </w:r>
          </w:p>
        </w:tc>
        <w:tc>
          <w:tcPr>
            <w:tcW w:w="6920" w:type="dxa"/>
            <w:tcBorders>
              <w:top w:val="nil"/>
              <w:left w:val="nil"/>
              <w:bottom w:val="nil"/>
              <w:right w:val="nil"/>
            </w:tcBorders>
            <w:shd w:val="clear" w:color="auto" w:fill="auto"/>
            <w:noWrap/>
            <w:vAlign w:val="bottom"/>
            <w:hideMark/>
          </w:tcPr>
          <w:p w14:paraId="7CEEE629"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Fall Armyworm</w:t>
            </w:r>
          </w:p>
        </w:tc>
      </w:tr>
      <w:tr w:rsidR="00F22F32" w:rsidRPr="00F22F32" w14:paraId="67931A04" w14:textId="77777777" w:rsidTr="011CE676">
        <w:trPr>
          <w:trHeight w:val="290"/>
        </w:trPr>
        <w:tc>
          <w:tcPr>
            <w:tcW w:w="8450" w:type="dxa"/>
            <w:gridSpan w:val="2"/>
            <w:tcBorders>
              <w:top w:val="nil"/>
              <w:left w:val="nil"/>
              <w:bottom w:val="nil"/>
              <w:right w:val="nil"/>
            </w:tcBorders>
            <w:shd w:val="clear" w:color="auto" w:fill="auto"/>
            <w:noWrap/>
            <w:vAlign w:val="bottom"/>
            <w:hideMark/>
          </w:tcPr>
          <w:p w14:paraId="5B5F06C2" w14:textId="18E1886E"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FEDEMOMA</w:t>
            </w:r>
            <w:r w:rsidR="006D150A" w:rsidRPr="00F22F32">
              <w:rPr>
                <w:rFonts w:asciiTheme="majorHAnsi" w:eastAsia="Times New Roman" w:hAnsiTheme="majorHAnsi" w:cstheme="majorHAnsi"/>
                <w:sz w:val="20"/>
                <w:szCs w:val="20"/>
              </w:rPr>
              <w:t xml:space="preserve"> </w:t>
            </w:r>
            <w:r w:rsidR="007B16BF" w:rsidRPr="00F22F32">
              <w:rPr>
                <w:rFonts w:asciiTheme="majorHAnsi" w:eastAsia="Times New Roman" w:hAnsiTheme="majorHAnsi" w:cstheme="majorHAnsi"/>
                <w:sz w:val="20"/>
                <w:szCs w:val="20"/>
              </w:rPr>
              <w:t xml:space="preserve">          </w:t>
            </w:r>
            <w:r w:rsidR="006D150A" w:rsidRPr="00F22F32">
              <w:rPr>
                <w:rFonts w:asciiTheme="minorHAnsi" w:eastAsia="Times New Roman" w:hAnsiTheme="minorHAnsi" w:cstheme="minorHAnsi"/>
                <w:sz w:val="20"/>
                <w:szCs w:val="20"/>
              </w:rPr>
              <w:t>Mozambican Federation of Timber Operators</w:t>
            </w:r>
          </w:p>
        </w:tc>
      </w:tr>
      <w:tr w:rsidR="00F22F32" w:rsidRPr="00F22F32" w14:paraId="382DC65F" w14:textId="77777777" w:rsidTr="011CE676">
        <w:trPr>
          <w:trHeight w:val="290"/>
        </w:trPr>
        <w:tc>
          <w:tcPr>
            <w:tcW w:w="1530" w:type="dxa"/>
            <w:tcBorders>
              <w:top w:val="nil"/>
              <w:left w:val="nil"/>
              <w:bottom w:val="nil"/>
              <w:right w:val="nil"/>
            </w:tcBorders>
            <w:shd w:val="clear" w:color="auto" w:fill="auto"/>
            <w:noWrap/>
            <w:vAlign w:val="bottom"/>
            <w:hideMark/>
          </w:tcPr>
          <w:p w14:paraId="1159E79E"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FMUS</w:t>
            </w:r>
          </w:p>
        </w:tc>
        <w:tc>
          <w:tcPr>
            <w:tcW w:w="6920" w:type="dxa"/>
            <w:tcBorders>
              <w:top w:val="nil"/>
              <w:left w:val="nil"/>
              <w:bottom w:val="nil"/>
              <w:right w:val="nil"/>
            </w:tcBorders>
            <w:shd w:val="clear" w:color="auto" w:fill="auto"/>
            <w:noWrap/>
            <w:vAlign w:val="bottom"/>
            <w:hideMark/>
          </w:tcPr>
          <w:p w14:paraId="41175BE9" w14:textId="6DC794D5" w:rsidR="00727D4F" w:rsidRPr="00F22F32" w:rsidRDefault="006D150A" w:rsidP="00727D4F">
            <w:pPr>
              <w:widowControl/>
              <w:autoSpaceDE/>
              <w:autoSpaceDN/>
              <w:rPr>
                <w:rFonts w:ascii="Calibri" w:eastAsia="Times New Roman" w:hAnsi="Calibri" w:cs="Calibri"/>
                <w:sz w:val="20"/>
                <w:szCs w:val="20"/>
                <w:lang w:bidi="ar-SA"/>
              </w:rPr>
            </w:pPr>
            <w:r w:rsidRPr="00F22F32">
              <w:rPr>
                <w:rFonts w:asciiTheme="majorHAnsi" w:eastAsia="Times New Roman" w:hAnsiTheme="majorHAnsi" w:cstheme="majorHAnsi"/>
                <w:sz w:val="20"/>
                <w:szCs w:val="20"/>
              </w:rPr>
              <w:t>Forest Management Units</w:t>
            </w:r>
          </w:p>
        </w:tc>
      </w:tr>
      <w:tr w:rsidR="00F22F32" w:rsidRPr="00F22F32" w14:paraId="1A54698A" w14:textId="77777777" w:rsidTr="011CE676">
        <w:trPr>
          <w:trHeight w:val="290"/>
        </w:trPr>
        <w:tc>
          <w:tcPr>
            <w:tcW w:w="1530" w:type="dxa"/>
            <w:tcBorders>
              <w:top w:val="nil"/>
              <w:left w:val="nil"/>
              <w:bottom w:val="nil"/>
              <w:right w:val="nil"/>
            </w:tcBorders>
            <w:shd w:val="clear" w:color="auto" w:fill="auto"/>
            <w:noWrap/>
            <w:vAlign w:val="bottom"/>
            <w:hideMark/>
          </w:tcPr>
          <w:p w14:paraId="4F20045A"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FSN</w:t>
            </w:r>
          </w:p>
        </w:tc>
        <w:tc>
          <w:tcPr>
            <w:tcW w:w="6920" w:type="dxa"/>
            <w:tcBorders>
              <w:top w:val="nil"/>
              <w:left w:val="nil"/>
              <w:bottom w:val="nil"/>
              <w:right w:val="nil"/>
            </w:tcBorders>
            <w:shd w:val="clear" w:color="auto" w:fill="auto"/>
            <w:noWrap/>
            <w:vAlign w:val="bottom"/>
            <w:hideMark/>
          </w:tcPr>
          <w:p w14:paraId="1A53C25F"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Food Security and Nutrition</w:t>
            </w:r>
          </w:p>
        </w:tc>
      </w:tr>
      <w:tr w:rsidR="00F22F32" w:rsidRPr="00F22F32" w14:paraId="705E1453" w14:textId="77777777" w:rsidTr="011CE676">
        <w:trPr>
          <w:trHeight w:val="290"/>
        </w:trPr>
        <w:tc>
          <w:tcPr>
            <w:tcW w:w="1530" w:type="dxa"/>
            <w:tcBorders>
              <w:top w:val="nil"/>
              <w:left w:val="nil"/>
              <w:bottom w:val="nil"/>
              <w:right w:val="nil"/>
            </w:tcBorders>
            <w:shd w:val="clear" w:color="auto" w:fill="auto"/>
            <w:noWrap/>
            <w:vAlign w:val="bottom"/>
            <w:hideMark/>
          </w:tcPr>
          <w:p w14:paraId="3361A15C"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FUNAE</w:t>
            </w:r>
          </w:p>
        </w:tc>
        <w:tc>
          <w:tcPr>
            <w:tcW w:w="6920" w:type="dxa"/>
            <w:tcBorders>
              <w:top w:val="nil"/>
              <w:left w:val="nil"/>
              <w:bottom w:val="nil"/>
              <w:right w:val="nil"/>
            </w:tcBorders>
            <w:shd w:val="clear" w:color="auto" w:fill="auto"/>
            <w:noWrap/>
            <w:vAlign w:val="bottom"/>
            <w:hideMark/>
          </w:tcPr>
          <w:p w14:paraId="4378122D" w14:textId="54FCE191" w:rsidR="00727D4F" w:rsidRPr="00F22F32" w:rsidRDefault="006D150A"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 xml:space="preserve">National Fund for </w:t>
            </w:r>
            <w:r w:rsidR="007B16BF" w:rsidRPr="00F22F32">
              <w:rPr>
                <w:rFonts w:ascii="Calibri" w:eastAsia="Times New Roman" w:hAnsi="Calibri" w:cs="Calibri"/>
                <w:sz w:val="20"/>
                <w:szCs w:val="20"/>
                <w:lang w:bidi="ar-SA"/>
              </w:rPr>
              <w:t>Energy</w:t>
            </w:r>
            <w:r w:rsidRPr="00F22F32">
              <w:rPr>
                <w:rFonts w:ascii="Calibri" w:eastAsia="Times New Roman" w:hAnsi="Calibri" w:cs="Calibri"/>
                <w:sz w:val="20"/>
                <w:szCs w:val="20"/>
                <w:lang w:bidi="ar-SA"/>
              </w:rPr>
              <w:t xml:space="preserve"> </w:t>
            </w:r>
          </w:p>
        </w:tc>
      </w:tr>
      <w:tr w:rsidR="00F22F32" w:rsidRPr="00F22F32" w14:paraId="1E2650E6" w14:textId="77777777" w:rsidTr="011CE676">
        <w:trPr>
          <w:trHeight w:val="290"/>
        </w:trPr>
        <w:tc>
          <w:tcPr>
            <w:tcW w:w="1530" w:type="dxa"/>
            <w:tcBorders>
              <w:top w:val="nil"/>
              <w:left w:val="nil"/>
              <w:bottom w:val="nil"/>
              <w:right w:val="nil"/>
            </w:tcBorders>
            <w:shd w:val="clear" w:color="auto" w:fill="auto"/>
            <w:noWrap/>
            <w:vAlign w:val="bottom"/>
            <w:hideMark/>
          </w:tcPr>
          <w:p w14:paraId="643E9508"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GBV</w:t>
            </w:r>
          </w:p>
        </w:tc>
        <w:tc>
          <w:tcPr>
            <w:tcW w:w="6920" w:type="dxa"/>
            <w:tcBorders>
              <w:top w:val="nil"/>
              <w:left w:val="nil"/>
              <w:bottom w:val="nil"/>
              <w:right w:val="nil"/>
            </w:tcBorders>
            <w:shd w:val="clear" w:color="auto" w:fill="auto"/>
            <w:noWrap/>
            <w:vAlign w:val="bottom"/>
            <w:hideMark/>
          </w:tcPr>
          <w:p w14:paraId="4FE84EDD"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Gender Based Violence</w:t>
            </w:r>
          </w:p>
        </w:tc>
      </w:tr>
      <w:tr w:rsidR="00F22F32" w:rsidRPr="00F22F32" w14:paraId="385D59BA" w14:textId="77777777" w:rsidTr="011CE676">
        <w:trPr>
          <w:trHeight w:val="290"/>
        </w:trPr>
        <w:tc>
          <w:tcPr>
            <w:tcW w:w="1530" w:type="dxa"/>
            <w:tcBorders>
              <w:top w:val="nil"/>
              <w:left w:val="nil"/>
              <w:bottom w:val="nil"/>
              <w:right w:val="nil"/>
            </w:tcBorders>
            <w:shd w:val="clear" w:color="auto" w:fill="auto"/>
            <w:noWrap/>
            <w:vAlign w:val="bottom"/>
            <w:hideMark/>
          </w:tcPr>
          <w:p w14:paraId="3EFA4E83"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GFATM</w:t>
            </w:r>
          </w:p>
        </w:tc>
        <w:tc>
          <w:tcPr>
            <w:tcW w:w="6920" w:type="dxa"/>
            <w:tcBorders>
              <w:top w:val="nil"/>
              <w:left w:val="nil"/>
              <w:bottom w:val="nil"/>
              <w:right w:val="nil"/>
            </w:tcBorders>
            <w:shd w:val="clear" w:color="auto" w:fill="auto"/>
            <w:noWrap/>
            <w:vAlign w:val="bottom"/>
            <w:hideMark/>
          </w:tcPr>
          <w:p w14:paraId="23A2D1F5"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Global Fund to Fight AIDS, Tuberculosis and Malaria</w:t>
            </w:r>
          </w:p>
        </w:tc>
      </w:tr>
      <w:tr w:rsidR="00F22F32" w:rsidRPr="00F22F32" w14:paraId="1DAA6F2A" w14:textId="77777777" w:rsidTr="011CE676">
        <w:trPr>
          <w:trHeight w:val="290"/>
        </w:trPr>
        <w:tc>
          <w:tcPr>
            <w:tcW w:w="1530" w:type="dxa"/>
            <w:tcBorders>
              <w:top w:val="nil"/>
              <w:left w:val="nil"/>
              <w:bottom w:val="nil"/>
              <w:right w:val="nil"/>
            </w:tcBorders>
            <w:shd w:val="clear" w:color="auto" w:fill="auto"/>
            <w:noWrap/>
            <w:vAlign w:val="bottom"/>
            <w:hideMark/>
          </w:tcPr>
          <w:p w14:paraId="70481779"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GREPOC</w:t>
            </w:r>
          </w:p>
        </w:tc>
        <w:tc>
          <w:tcPr>
            <w:tcW w:w="6920" w:type="dxa"/>
            <w:tcBorders>
              <w:top w:val="nil"/>
              <w:left w:val="nil"/>
              <w:bottom w:val="nil"/>
              <w:right w:val="nil"/>
            </w:tcBorders>
            <w:shd w:val="clear" w:color="auto" w:fill="auto"/>
            <w:noWrap/>
            <w:vAlign w:val="bottom"/>
            <w:hideMark/>
          </w:tcPr>
          <w:p w14:paraId="18B9742C" w14:textId="2F10CAF8" w:rsidR="00727D4F" w:rsidRPr="00F22F32" w:rsidRDefault="006D150A" w:rsidP="00727D4F">
            <w:pPr>
              <w:widowControl/>
              <w:autoSpaceDE/>
              <w:autoSpaceDN/>
              <w:rPr>
                <w:rFonts w:asciiTheme="minorHAnsi" w:eastAsia="Times New Roman" w:hAnsiTheme="minorHAnsi" w:cstheme="minorHAnsi"/>
                <w:sz w:val="20"/>
                <w:szCs w:val="20"/>
                <w:lang w:bidi="ar-SA"/>
              </w:rPr>
            </w:pPr>
            <w:r w:rsidRPr="00F22F32">
              <w:rPr>
                <w:rFonts w:asciiTheme="minorHAnsi" w:eastAsia="Times New Roman" w:hAnsiTheme="minorHAnsi" w:cstheme="minorHAnsi"/>
                <w:sz w:val="20"/>
                <w:szCs w:val="20"/>
                <w:lang w:eastAsia="en-GB"/>
              </w:rPr>
              <w:t>Government Reconstruction Cabinet</w:t>
            </w:r>
          </w:p>
        </w:tc>
      </w:tr>
      <w:tr w:rsidR="00F22F32" w:rsidRPr="00F22F32" w14:paraId="1002CA28" w14:textId="77777777" w:rsidTr="011CE676">
        <w:trPr>
          <w:trHeight w:val="290"/>
        </w:trPr>
        <w:tc>
          <w:tcPr>
            <w:tcW w:w="1530" w:type="dxa"/>
            <w:tcBorders>
              <w:top w:val="nil"/>
              <w:left w:val="nil"/>
              <w:bottom w:val="nil"/>
              <w:right w:val="nil"/>
            </w:tcBorders>
            <w:shd w:val="clear" w:color="auto" w:fill="auto"/>
            <w:noWrap/>
            <w:vAlign w:val="bottom"/>
            <w:hideMark/>
          </w:tcPr>
          <w:p w14:paraId="0A8E6A90"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HWC</w:t>
            </w:r>
          </w:p>
        </w:tc>
        <w:tc>
          <w:tcPr>
            <w:tcW w:w="6920" w:type="dxa"/>
            <w:tcBorders>
              <w:top w:val="nil"/>
              <w:left w:val="nil"/>
              <w:bottom w:val="nil"/>
              <w:right w:val="nil"/>
            </w:tcBorders>
            <w:shd w:val="clear" w:color="auto" w:fill="auto"/>
            <w:noWrap/>
            <w:vAlign w:val="bottom"/>
            <w:hideMark/>
          </w:tcPr>
          <w:p w14:paraId="149AC1A0" w14:textId="069FA50D" w:rsidR="00727D4F" w:rsidRPr="00F22F32" w:rsidRDefault="006D150A"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Human Wildlife Conflict</w:t>
            </w:r>
          </w:p>
        </w:tc>
      </w:tr>
      <w:tr w:rsidR="00F22F32" w:rsidRPr="00F22F32" w14:paraId="75A79F63" w14:textId="77777777" w:rsidTr="011CE676">
        <w:trPr>
          <w:trHeight w:val="290"/>
        </w:trPr>
        <w:tc>
          <w:tcPr>
            <w:tcW w:w="1530" w:type="dxa"/>
            <w:tcBorders>
              <w:top w:val="nil"/>
              <w:left w:val="nil"/>
              <w:bottom w:val="nil"/>
              <w:right w:val="nil"/>
            </w:tcBorders>
            <w:shd w:val="clear" w:color="auto" w:fill="auto"/>
            <w:noWrap/>
            <w:vAlign w:val="bottom"/>
            <w:hideMark/>
          </w:tcPr>
          <w:p w14:paraId="56120864"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IDPs</w:t>
            </w:r>
          </w:p>
        </w:tc>
        <w:tc>
          <w:tcPr>
            <w:tcW w:w="6920" w:type="dxa"/>
            <w:tcBorders>
              <w:top w:val="nil"/>
              <w:left w:val="nil"/>
              <w:bottom w:val="nil"/>
              <w:right w:val="nil"/>
            </w:tcBorders>
            <w:shd w:val="clear" w:color="auto" w:fill="auto"/>
            <w:noWrap/>
            <w:vAlign w:val="bottom"/>
            <w:hideMark/>
          </w:tcPr>
          <w:p w14:paraId="0CD8D673"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Internally Displaced People</w:t>
            </w:r>
          </w:p>
        </w:tc>
      </w:tr>
      <w:tr w:rsidR="00F22F32" w:rsidRPr="00F22F32" w14:paraId="183E503B" w14:textId="77777777" w:rsidTr="011CE676">
        <w:trPr>
          <w:trHeight w:val="290"/>
        </w:trPr>
        <w:tc>
          <w:tcPr>
            <w:tcW w:w="1530" w:type="dxa"/>
            <w:tcBorders>
              <w:top w:val="nil"/>
              <w:left w:val="nil"/>
              <w:bottom w:val="nil"/>
              <w:right w:val="nil"/>
            </w:tcBorders>
            <w:shd w:val="clear" w:color="auto" w:fill="auto"/>
            <w:noWrap/>
            <w:vAlign w:val="bottom"/>
            <w:hideMark/>
          </w:tcPr>
          <w:p w14:paraId="3A9AA036"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IFPRI</w:t>
            </w:r>
          </w:p>
        </w:tc>
        <w:tc>
          <w:tcPr>
            <w:tcW w:w="6920" w:type="dxa"/>
            <w:tcBorders>
              <w:top w:val="nil"/>
              <w:left w:val="nil"/>
              <w:bottom w:val="nil"/>
              <w:right w:val="nil"/>
            </w:tcBorders>
            <w:shd w:val="clear" w:color="auto" w:fill="auto"/>
            <w:noWrap/>
            <w:vAlign w:val="bottom"/>
            <w:hideMark/>
          </w:tcPr>
          <w:p w14:paraId="59010C36"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International Food Policy Research Institute</w:t>
            </w:r>
          </w:p>
        </w:tc>
      </w:tr>
      <w:tr w:rsidR="00F22F32" w:rsidRPr="00F22F32" w14:paraId="495EBE63" w14:textId="77777777" w:rsidTr="011CE676">
        <w:trPr>
          <w:trHeight w:val="290"/>
        </w:trPr>
        <w:tc>
          <w:tcPr>
            <w:tcW w:w="1530" w:type="dxa"/>
            <w:tcBorders>
              <w:top w:val="nil"/>
              <w:left w:val="nil"/>
              <w:bottom w:val="nil"/>
              <w:right w:val="nil"/>
            </w:tcBorders>
            <w:shd w:val="clear" w:color="auto" w:fill="auto"/>
            <w:noWrap/>
            <w:vAlign w:val="bottom"/>
            <w:hideMark/>
          </w:tcPr>
          <w:p w14:paraId="2998AE64"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INAM</w:t>
            </w:r>
          </w:p>
        </w:tc>
        <w:tc>
          <w:tcPr>
            <w:tcW w:w="6920" w:type="dxa"/>
            <w:tcBorders>
              <w:top w:val="nil"/>
              <w:left w:val="nil"/>
              <w:bottom w:val="nil"/>
              <w:right w:val="nil"/>
            </w:tcBorders>
            <w:shd w:val="clear" w:color="auto" w:fill="auto"/>
            <w:noWrap/>
            <w:vAlign w:val="bottom"/>
            <w:hideMark/>
          </w:tcPr>
          <w:p w14:paraId="61670CB1" w14:textId="505A8C3C" w:rsidR="00727D4F" w:rsidRPr="00F22F32" w:rsidRDefault="006D150A"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 xml:space="preserve">National Instituted for Meteorology </w:t>
            </w:r>
          </w:p>
        </w:tc>
      </w:tr>
      <w:tr w:rsidR="00F22F32" w:rsidRPr="00F22F32" w14:paraId="6CA06E62" w14:textId="77777777" w:rsidTr="011CE676">
        <w:trPr>
          <w:trHeight w:val="290"/>
        </w:trPr>
        <w:tc>
          <w:tcPr>
            <w:tcW w:w="1530" w:type="dxa"/>
            <w:tcBorders>
              <w:top w:val="nil"/>
              <w:left w:val="nil"/>
              <w:bottom w:val="nil"/>
              <w:right w:val="nil"/>
            </w:tcBorders>
            <w:shd w:val="clear" w:color="auto" w:fill="auto"/>
            <w:noWrap/>
            <w:vAlign w:val="bottom"/>
            <w:hideMark/>
          </w:tcPr>
          <w:p w14:paraId="52BABEDF"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INE</w:t>
            </w:r>
          </w:p>
        </w:tc>
        <w:tc>
          <w:tcPr>
            <w:tcW w:w="6920" w:type="dxa"/>
            <w:tcBorders>
              <w:top w:val="nil"/>
              <w:left w:val="nil"/>
              <w:bottom w:val="nil"/>
              <w:right w:val="nil"/>
            </w:tcBorders>
            <w:shd w:val="clear" w:color="auto" w:fill="auto"/>
            <w:noWrap/>
            <w:vAlign w:val="bottom"/>
            <w:hideMark/>
          </w:tcPr>
          <w:p w14:paraId="613941DC"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National Institute for Statistics</w:t>
            </w:r>
          </w:p>
        </w:tc>
      </w:tr>
      <w:tr w:rsidR="00F22F32" w:rsidRPr="00F22F32" w14:paraId="30045FE3" w14:textId="77777777" w:rsidTr="011CE676">
        <w:trPr>
          <w:trHeight w:val="290"/>
        </w:trPr>
        <w:tc>
          <w:tcPr>
            <w:tcW w:w="1530" w:type="dxa"/>
            <w:tcBorders>
              <w:top w:val="nil"/>
              <w:left w:val="nil"/>
              <w:bottom w:val="nil"/>
              <w:right w:val="nil"/>
            </w:tcBorders>
            <w:shd w:val="clear" w:color="auto" w:fill="auto"/>
            <w:noWrap/>
            <w:vAlign w:val="bottom"/>
            <w:hideMark/>
          </w:tcPr>
          <w:p w14:paraId="2AE165F2"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INNOQ</w:t>
            </w:r>
          </w:p>
        </w:tc>
        <w:tc>
          <w:tcPr>
            <w:tcW w:w="6920" w:type="dxa"/>
            <w:tcBorders>
              <w:top w:val="nil"/>
              <w:left w:val="nil"/>
              <w:bottom w:val="nil"/>
              <w:right w:val="nil"/>
            </w:tcBorders>
            <w:shd w:val="clear" w:color="auto" w:fill="auto"/>
            <w:noWrap/>
            <w:vAlign w:val="bottom"/>
            <w:hideMark/>
          </w:tcPr>
          <w:p w14:paraId="2410B534"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 xml:space="preserve">National Institute for Standardization and Quality </w:t>
            </w:r>
          </w:p>
        </w:tc>
      </w:tr>
      <w:tr w:rsidR="00F22F32" w:rsidRPr="00F22F32" w14:paraId="519DE070" w14:textId="77777777" w:rsidTr="011CE676">
        <w:trPr>
          <w:trHeight w:val="290"/>
        </w:trPr>
        <w:tc>
          <w:tcPr>
            <w:tcW w:w="1530" w:type="dxa"/>
            <w:tcBorders>
              <w:top w:val="nil"/>
              <w:left w:val="nil"/>
              <w:bottom w:val="nil"/>
              <w:right w:val="nil"/>
            </w:tcBorders>
            <w:shd w:val="clear" w:color="auto" w:fill="auto"/>
            <w:noWrap/>
            <w:vAlign w:val="bottom"/>
            <w:hideMark/>
          </w:tcPr>
          <w:p w14:paraId="32DF52B2"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IPAJ</w:t>
            </w:r>
          </w:p>
        </w:tc>
        <w:tc>
          <w:tcPr>
            <w:tcW w:w="6920" w:type="dxa"/>
            <w:tcBorders>
              <w:top w:val="nil"/>
              <w:left w:val="nil"/>
              <w:bottom w:val="nil"/>
              <w:right w:val="nil"/>
            </w:tcBorders>
            <w:shd w:val="clear" w:color="auto" w:fill="auto"/>
            <w:noWrap/>
            <w:vAlign w:val="bottom"/>
            <w:hideMark/>
          </w:tcPr>
          <w:p w14:paraId="3C74383A"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Legal Assistance and Representation</w:t>
            </w:r>
          </w:p>
        </w:tc>
      </w:tr>
      <w:tr w:rsidR="00F22F32" w:rsidRPr="00F22F32" w14:paraId="4CBD5B76" w14:textId="77777777" w:rsidTr="011CE676">
        <w:trPr>
          <w:trHeight w:val="290"/>
        </w:trPr>
        <w:tc>
          <w:tcPr>
            <w:tcW w:w="1530" w:type="dxa"/>
            <w:tcBorders>
              <w:top w:val="nil"/>
              <w:left w:val="nil"/>
              <w:bottom w:val="nil"/>
              <w:right w:val="nil"/>
            </w:tcBorders>
            <w:shd w:val="clear" w:color="auto" w:fill="auto"/>
            <w:noWrap/>
            <w:vAlign w:val="bottom"/>
            <w:hideMark/>
          </w:tcPr>
          <w:p w14:paraId="30B7FA96"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IPC</w:t>
            </w:r>
          </w:p>
        </w:tc>
        <w:tc>
          <w:tcPr>
            <w:tcW w:w="6920" w:type="dxa"/>
            <w:tcBorders>
              <w:top w:val="nil"/>
              <w:left w:val="nil"/>
              <w:bottom w:val="nil"/>
              <w:right w:val="nil"/>
            </w:tcBorders>
            <w:shd w:val="clear" w:color="auto" w:fill="auto"/>
            <w:noWrap/>
            <w:vAlign w:val="bottom"/>
            <w:hideMark/>
          </w:tcPr>
          <w:p w14:paraId="1D15146D" w14:textId="286E1B4B" w:rsidR="00727D4F" w:rsidRPr="00F22F32" w:rsidRDefault="004D5A62" w:rsidP="00727D4F">
            <w:pPr>
              <w:widowControl/>
              <w:autoSpaceDE/>
              <w:autoSpaceDN/>
              <w:rPr>
                <w:rFonts w:ascii="Calibri" w:eastAsia="Times New Roman" w:hAnsi="Calibri" w:cs="Calibri"/>
                <w:sz w:val="20"/>
                <w:szCs w:val="20"/>
                <w:lang w:bidi="ar-SA"/>
              </w:rPr>
            </w:pPr>
            <w:r w:rsidRPr="00F22F32">
              <w:rPr>
                <w:rFonts w:asciiTheme="majorHAnsi" w:hAnsiTheme="majorHAnsi" w:cstheme="majorHAnsi"/>
                <w:sz w:val="20"/>
                <w:szCs w:val="20"/>
              </w:rPr>
              <w:t>Integrated Food Security Phase Classification</w:t>
            </w:r>
          </w:p>
        </w:tc>
      </w:tr>
      <w:tr w:rsidR="00F22F32" w:rsidRPr="00F22F32" w14:paraId="775E1CC1" w14:textId="77777777" w:rsidTr="011CE676">
        <w:trPr>
          <w:trHeight w:val="290"/>
        </w:trPr>
        <w:tc>
          <w:tcPr>
            <w:tcW w:w="1530" w:type="dxa"/>
            <w:tcBorders>
              <w:top w:val="nil"/>
              <w:left w:val="nil"/>
              <w:bottom w:val="nil"/>
              <w:right w:val="nil"/>
            </w:tcBorders>
            <w:shd w:val="clear" w:color="auto" w:fill="auto"/>
            <w:noWrap/>
            <w:vAlign w:val="bottom"/>
            <w:hideMark/>
          </w:tcPr>
          <w:p w14:paraId="5D64670E"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ISRI</w:t>
            </w:r>
          </w:p>
        </w:tc>
        <w:tc>
          <w:tcPr>
            <w:tcW w:w="6920" w:type="dxa"/>
            <w:tcBorders>
              <w:top w:val="nil"/>
              <w:left w:val="nil"/>
              <w:bottom w:val="nil"/>
              <w:right w:val="nil"/>
            </w:tcBorders>
            <w:shd w:val="clear" w:color="auto" w:fill="auto"/>
            <w:noWrap/>
            <w:vAlign w:val="bottom"/>
            <w:hideMark/>
          </w:tcPr>
          <w:p w14:paraId="6FD271A1"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Higher Institute for International Relations</w:t>
            </w:r>
          </w:p>
        </w:tc>
      </w:tr>
      <w:tr w:rsidR="00F22F32" w:rsidRPr="00F22F32" w14:paraId="3883E412" w14:textId="77777777" w:rsidTr="011CE676">
        <w:trPr>
          <w:trHeight w:val="290"/>
        </w:trPr>
        <w:tc>
          <w:tcPr>
            <w:tcW w:w="1530" w:type="dxa"/>
            <w:tcBorders>
              <w:top w:val="nil"/>
              <w:left w:val="nil"/>
              <w:bottom w:val="nil"/>
              <w:right w:val="nil"/>
            </w:tcBorders>
            <w:shd w:val="clear" w:color="auto" w:fill="auto"/>
            <w:noWrap/>
            <w:vAlign w:val="bottom"/>
            <w:hideMark/>
          </w:tcPr>
          <w:p w14:paraId="70820E46"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KAP</w:t>
            </w:r>
          </w:p>
        </w:tc>
        <w:tc>
          <w:tcPr>
            <w:tcW w:w="6920" w:type="dxa"/>
            <w:tcBorders>
              <w:top w:val="nil"/>
              <w:left w:val="nil"/>
              <w:bottom w:val="nil"/>
              <w:right w:val="nil"/>
            </w:tcBorders>
            <w:shd w:val="clear" w:color="auto" w:fill="auto"/>
            <w:noWrap/>
            <w:vAlign w:val="bottom"/>
            <w:hideMark/>
          </w:tcPr>
          <w:p w14:paraId="486A7E81"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Knowledge, Attitudes and Practices</w:t>
            </w:r>
          </w:p>
        </w:tc>
      </w:tr>
      <w:tr w:rsidR="00F22F32" w:rsidRPr="00F22F32" w14:paraId="4C1C161A" w14:textId="77777777" w:rsidTr="011CE676">
        <w:trPr>
          <w:trHeight w:val="290"/>
        </w:trPr>
        <w:tc>
          <w:tcPr>
            <w:tcW w:w="1530" w:type="dxa"/>
            <w:tcBorders>
              <w:top w:val="nil"/>
              <w:left w:val="nil"/>
              <w:bottom w:val="nil"/>
              <w:right w:val="nil"/>
            </w:tcBorders>
            <w:shd w:val="clear" w:color="auto" w:fill="auto"/>
            <w:noWrap/>
            <w:vAlign w:val="bottom"/>
            <w:hideMark/>
          </w:tcPr>
          <w:p w14:paraId="36D14BC6"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LGBTI</w:t>
            </w:r>
          </w:p>
        </w:tc>
        <w:tc>
          <w:tcPr>
            <w:tcW w:w="6920" w:type="dxa"/>
            <w:tcBorders>
              <w:top w:val="nil"/>
              <w:left w:val="nil"/>
              <w:bottom w:val="nil"/>
              <w:right w:val="nil"/>
            </w:tcBorders>
            <w:shd w:val="clear" w:color="auto" w:fill="auto"/>
            <w:noWrap/>
            <w:vAlign w:val="bottom"/>
            <w:hideMark/>
          </w:tcPr>
          <w:p w14:paraId="1654BE7A" w14:textId="046663E0" w:rsidR="00727D4F" w:rsidRPr="00F22F32" w:rsidRDefault="004D5A62"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 xml:space="preserve">Lesbians, Gays, Bisexuals, </w:t>
            </w:r>
            <w:r w:rsidR="007B16BF" w:rsidRPr="00F22F32">
              <w:rPr>
                <w:rFonts w:ascii="Calibri" w:eastAsia="Times New Roman" w:hAnsi="Calibri" w:cs="Calibri"/>
                <w:sz w:val="20"/>
                <w:szCs w:val="20"/>
                <w:lang w:bidi="ar-SA"/>
              </w:rPr>
              <w:t>Transsexuals,</w:t>
            </w:r>
            <w:r w:rsidRPr="00F22F32">
              <w:rPr>
                <w:rFonts w:ascii="Calibri" w:eastAsia="Times New Roman" w:hAnsi="Calibri" w:cs="Calibri"/>
                <w:sz w:val="20"/>
                <w:szCs w:val="20"/>
                <w:lang w:bidi="ar-SA"/>
              </w:rPr>
              <w:t xml:space="preserve"> and Intersex</w:t>
            </w:r>
          </w:p>
        </w:tc>
      </w:tr>
      <w:tr w:rsidR="00F22F32" w:rsidRPr="00F22F32" w14:paraId="3D0D8B89" w14:textId="77777777" w:rsidTr="011CE676">
        <w:trPr>
          <w:trHeight w:val="290"/>
        </w:trPr>
        <w:tc>
          <w:tcPr>
            <w:tcW w:w="1530" w:type="dxa"/>
            <w:tcBorders>
              <w:top w:val="nil"/>
              <w:left w:val="nil"/>
              <w:bottom w:val="nil"/>
              <w:right w:val="nil"/>
            </w:tcBorders>
            <w:shd w:val="clear" w:color="auto" w:fill="auto"/>
            <w:noWrap/>
            <w:vAlign w:val="bottom"/>
            <w:hideMark/>
          </w:tcPr>
          <w:p w14:paraId="6C88BDBB"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LMIS</w:t>
            </w:r>
          </w:p>
        </w:tc>
        <w:tc>
          <w:tcPr>
            <w:tcW w:w="6920" w:type="dxa"/>
            <w:tcBorders>
              <w:top w:val="nil"/>
              <w:left w:val="nil"/>
              <w:bottom w:val="nil"/>
              <w:right w:val="nil"/>
            </w:tcBorders>
            <w:shd w:val="clear" w:color="auto" w:fill="auto"/>
            <w:noWrap/>
            <w:vAlign w:val="bottom"/>
            <w:hideMark/>
          </w:tcPr>
          <w:p w14:paraId="54E3AA6A" w14:textId="49886449" w:rsidR="00727D4F" w:rsidRPr="00F22F32" w:rsidRDefault="009F2E10"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Labor</w:t>
            </w:r>
            <w:r w:rsidR="00727D4F" w:rsidRPr="00F22F32">
              <w:rPr>
                <w:rFonts w:ascii="Calibri" w:eastAsia="Times New Roman" w:hAnsi="Calibri" w:cs="Calibri"/>
                <w:sz w:val="20"/>
                <w:szCs w:val="20"/>
                <w:lang w:bidi="ar-SA"/>
              </w:rPr>
              <w:t xml:space="preserve"> Market Information System</w:t>
            </w:r>
          </w:p>
        </w:tc>
      </w:tr>
      <w:tr w:rsidR="00F22F32" w:rsidRPr="00F22F32" w14:paraId="25F85F07" w14:textId="77777777" w:rsidTr="011CE676">
        <w:trPr>
          <w:trHeight w:val="290"/>
        </w:trPr>
        <w:tc>
          <w:tcPr>
            <w:tcW w:w="1530" w:type="dxa"/>
            <w:tcBorders>
              <w:top w:val="nil"/>
              <w:left w:val="nil"/>
              <w:bottom w:val="nil"/>
              <w:right w:val="nil"/>
            </w:tcBorders>
            <w:shd w:val="clear" w:color="auto" w:fill="auto"/>
            <w:noWrap/>
            <w:vAlign w:val="bottom"/>
            <w:hideMark/>
          </w:tcPr>
          <w:p w14:paraId="4BAED73E"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LNOB</w:t>
            </w:r>
          </w:p>
        </w:tc>
        <w:tc>
          <w:tcPr>
            <w:tcW w:w="6920" w:type="dxa"/>
            <w:tcBorders>
              <w:top w:val="nil"/>
              <w:left w:val="nil"/>
              <w:bottom w:val="nil"/>
              <w:right w:val="nil"/>
            </w:tcBorders>
            <w:shd w:val="clear" w:color="auto" w:fill="auto"/>
            <w:noWrap/>
            <w:vAlign w:val="bottom"/>
            <w:hideMark/>
          </w:tcPr>
          <w:p w14:paraId="0D844283" w14:textId="506C1CE3" w:rsidR="00727D4F" w:rsidRPr="00F22F32" w:rsidRDefault="004D5A62"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Leave No One Behind</w:t>
            </w:r>
          </w:p>
        </w:tc>
      </w:tr>
      <w:tr w:rsidR="00F22F32" w:rsidRPr="00F22F32" w14:paraId="474DCA1F" w14:textId="77777777" w:rsidTr="011CE676">
        <w:trPr>
          <w:trHeight w:val="290"/>
        </w:trPr>
        <w:tc>
          <w:tcPr>
            <w:tcW w:w="1530" w:type="dxa"/>
            <w:tcBorders>
              <w:top w:val="nil"/>
              <w:left w:val="nil"/>
              <w:bottom w:val="nil"/>
              <w:right w:val="nil"/>
            </w:tcBorders>
            <w:shd w:val="clear" w:color="auto" w:fill="auto"/>
            <w:noWrap/>
            <w:vAlign w:val="bottom"/>
            <w:hideMark/>
          </w:tcPr>
          <w:p w14:paraId="4462554D"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MADER</w:t>
            </w:r>
          </w:p>
        </w:tc>
        <w:tc>
          <w:tcPr>
            <w:tcW w:w="6920" w:type="dxa"/>
            <w:tcBorders>
              <w:top w:val="nil"/>
              <w:left w:val="nil"/>
              <w:bottom w:val="nil"/>
              <w:right w:val="nil"/>
            </w:tcBorders>
            <w:shd w:val="clear" w:color="auto" w:fill="auto"/>
            <w:noWrap/>
            <w:vAlign w:val="bottom"/>
            <w:hideMark/>
          </w:tcPr>
          <w:p w14:paraId="0B6F48F0"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Ministry of Agriculture and Rural Development</w:t>
            </w:r>
          </w:p>
        </w:tc>
      </w:tr>
      <w:tr w:rsidR="00F22F32" w:rsidRPr="00F22F32" w14:paraId="296971CF" w14:textId="77777777" w:rsidTr="011CE676">
        <w:trPr>
          <w:trHeight w:val="290"/>
        </w:trPr>
        <w:tc>
          <w:tcPr>
            <w:tcW w:w="1530" w:type="dxa"/>
            <w:tcBorders>
              <w:top w:val="nil"/>
              <w:left w:val="nil"/>
              <w:bottom w:val="nil"/>
              <w:right w:val="nil"/>
            </w:tcBorders>
            <w:shd w:val="clear" w:color="auto" w:fill="auto"/>
            <w:noWrap/>
            <w:vAlign w:val="bottom"/>
            <w:hideMark/>
          </w:tcPr>
          <w:p w14:paraId="0E4FE42D"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MAEFP</w:t>
            </w:r>
          </w:p>
        </w:tc>
        <w:tc>
          <w:tcPr>
            <w:tcW w:w="6920" w:type="dxa"/>
            <w:tcBorders>
              <w:top w:val="nil"/>
              <w:left w:val="nil"/>
              <w:bottom w:val="nil"/>
              <w:right w:val="nil"/>
            </w:tcBorders>
            <w:shd w:val="clear" w:color="auto" w:fill="auto"/>
            <w:noWrap/>
            <w:vAlign w:val="bottom"/>
            <w:hideMark/>
          </w:tcPr>
          <w:p w14:paraId="29F14ED1"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Ministry of State Administration and Civil Service</w:t>
            </w:r>
          </w:p>
        </w:tc>
      </w:tr>
      <w:tr w:rsidR="00F22F32" w:rsidRPr="00F22F32" w14:paraId="78AB293C" w14:textId="77777777" w:rsidTr="011CE676">
        <w:trPr>
          <w:trHeight w:val="290"/>
        </w:trPr>
        <w:tc>
          <w:tcPr>
            <w:tcW w:w="1530" w:type="dxa"/>
            <w:tcBorders>
              <w:top w:val="nil"/>
              <w:left w:val="nil"/>
              <w:bottom w:val="nil"/>
              <w:right w:val="nil"/>
            </w:tcBorders>
            <w:shd w:val="clear" w:color="auto" w:fill="auto"/>
            <w:noWrap/>
            <w:vAlign w:val="bottom"/>
            <w:hideMark/>
          </w:tcPr>
          <w:p w14:paraId="4D3FC96C"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MAM</w:t>
            </w:r>
          </w:p>
        </w:tc>
        <w:tc>
          <w:tcPr>
            <w:tcW w:w="6920" w:type="dxa"/>
            <w:tcBorders>
              <w:top w:val="nil"/>
              <w:left w:val="nil"/>
              <w:bottom w:val="nil"/>
              <w:right w:val="nil"/>
            </w:tcBorders>
            <w:shd w:val="clear" w:color="auto" w:fill="auto"/>
            <w:noWrap/>
            <w:vAlign w:val="bottom"/>
            <w:hideMark/>
          </w:tcPr>
          <w:p w14:paraId="231F090E"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Moderate Acute Malnutrition</w:t>
            </w:r>
          </w:p>
        </w:tc>
      </w:tr>
      <w:tr w:rsidR="00F22F32" w:rsidRPr="00F22F32" w14:paraId="2325D33B" w14:textId="77777777" w:rsidTr="011CE676">
        <w:trPr>
          <w:trHeight w:val="290"/>
        </w:trPr>
        <w:tc>
          <w:tcPr>
            <w:tcW w:w="1530" w:type="dxa"/>
            <w:tcBorders>
              <w:top w:val="nil"/>
              <w:left w:val="nil"/>
              <w:bottom w:val="nil"/>
              <w:right w:val="nil"/>
            </w:tcBorders>
            <w:shd w:val="clear" w:color="auto" w:fill="auto"/>
            <w:noWrap/>
            <w:vAlign w:val="bottom"/>
            <w:hideMark/>
          </w:tcPr>
          <w:p w14:paraId="5959EA1E"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lastRenderedPageBreak/>
              <w:t>MEF</w:t>
            </w:r>
          </w:p>
        </w:tc>
        <w:tc>
          <w:tcPr>
            <w:tcW w:w="6920" w:type="dxa"/>
            <w:tcBorders>
              <w:top w:val="nil"/>
              <w:left w:val="nil"/>
              <w:bottom w:val="nil"/>
              <w:right w:val="nil"/>
            </w:tcBorders>
            <w:shd w:val="clear" w:color="auto" w:fill="auto"/>
            <w:noWrap/>
            <w:vAlign w:val="bottom"/>
            <w:hideMark/>
          </w:tcPr>
          <w:p w14:paraId="69775C89"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Ministry of Economy and Finance</w:t>
            </w:r>
          </w:p>
        </w:tc>
      </w:tr>
      <w:tr w:rsidR="00F22F32" w:rsidRPr="00F22F32" w14:paraId="4D7B9EDB" w14:textId="77777777" w:rsidTr="011CE676">
        <w:trPr>
          <w:trHeight w:val="290"/>
        </w:trPr>
        <w:tc>
          <w:tcPr>
            <w:tcW w:w="1530" w:type="dxa"/>
            <w:tcBorders>
              <w:top w:val="nil"/>
              <w:left w:val="nil"/>
              <w:bottom w:val="nil"/>
              <w:right w:val="nil"/>
            </w:tcBorders>
            <w:shd w:val="clear" w:color="auto" w:fill="auto"/>
            <w:noWrap/>
            <w:vAlign w:val="bottom"/>
            <w:hideMark/>
          </w:tcPr>
          <w:p w14:paraId="7D2541A4"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MINEDH</w:t>
            </w:r>
          </w:p>
        </w:tc>
        <w:tc>
          <w:tcPr>
            <w:tcW w:w="6920" w:type="dxa"/>
            <w:tcBorders>
              <w:top w:val="nil"/>
              <w:left w:val="nil"/>
              <w:bottom w:val="nil"/>
              <w:right w:val="nil"/>
            </w:tcBorders>
            <w:shd w:val="clear" w:color="auto" w:fill="auto"/>
            <w:noWrap/>
            <w:vAlign w:val="bottom"/>
            <w:hideMark/>
          </w:tcPr>
          <w:p w14:paraId="19542E29"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Ministry of Education and Human Development</w:t>
            </w:r>
          </w:p>
        </w:tc>
      </w:tr>
      <w:tr w:rsidR="00F22F32" w:rsidRPr="00F22F32" w14:paraId="02B32811" w14:textId="77777777" w:rsidTr="011CE676">
        <w:trPr>
          <w:trHeight w:val="290"/>
        </w:trPr>
        <w:tc>
          <w:tcPr>
            <w:tcW w:w="1530" w:type="dxa"/>
            <w:tcBorders>
              <w:top w:val="nil"/>
              <w:left w:val="nil"/>
              <w:bottom w:val="nil"/>
              <w:right w:val="nil"/>
            </w:tcBorders>
            <w:shd w:val="clear" w:color="auto" w:fill="auto"/>
            <w:noWrap/>
            <w:vAlign w:val="bottom"/>
            <w:hideMark/>
          </w:tcPr>
          <w:p w14:paraId="1A8A07BC"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MITSS</w:t>
            </w:r>
          </w:p>
        </w:tc>
        <w:tc>
          <w:tcPr>
            <w:tcW w:w="6920" w:type="dxa"/>
            <w:tcBorders>
              <w:top w:val="nil"/>
              <w:left w:val="nil"/>
              <w:bottom w:val="nil"/>
              <w:right w:val="nil"/>
            </w:tcBorders>
            <w:shd w:val="clear" w:color="auto" w:fill="auto"/>
            <w:noWrap/>
            <w:vAlign w:val="bottom"/>
            <w:hideMark/>
          </w:tcPr>
          <w:p w14:paraId="3C577869"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Ministry of Labor and Social Security</w:t>
            </w:r>
          </w:p>
        </w:tc>
      </w:tr>
      <w:tr w:rsidR="00F22F32" w:rsidRPr="00F22F32" w14:paraId="11C15882" w14:textId="77777777" w:rsidTr="011CE676">
        <w:trPr>
          <w:trHeight w:val="290"/>
        </w:trPr>
        <w:tc>
          <w:tcPr>
            <w:tcW w:w="1530" w:type="dxa"/>
            <w:tcBorders>
              <w:top w:val="nil"/>
              <w:left w:val="nil"/>
              <w:bottom w:val="nil"/>
              <w:right w:val="nil"/>
            </w:tcBorders>
            <w:shd w:val="clear" w:color="auto" w:fill="auto"/>
            <w:noWrap/>
            <w:vAlign w:val="bottom"/>
            <w:hideMark/>
          </w:tcPr>
          <w:p w14:paraId="2E14D870"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MJCR</w:t>
            </w:r>
          </w:p>
        </w:tc>
        <w:tc>
          <w:tcPr>
            <w:tcW w:w="6920" w:type="dxa"/>
            <w:tcBorders>
              <w:top w:val="nil"/>
              <w:left w:val="nil"/>
              <w:bottom w:val="nil"/>
              <w:right w:val="nil"/>
            </w:tcBorders>
            <w:shd w:val="clear" w:color="auto" w:fill="auto"/>
            <w:noWrap/>
            <w:vAlign w:val="bottom"/>
            <w:hideMark/>
          </w:tcPr>
          <w:p w14:paraId="70C0065F"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Ministry of Justice and Constitutional and Religious Affairs</w:t>
            </w:r>
          </w:p>
        </w:tc>
      </w:tr>
      <w:tr w:rsidR="00F22F32" w:rsidRPr="00F22F32" w14:paraId="7ECBBE95" w14:textId="77777777" w:rsidTr="011CE676">
        <w:trPr>
          <w:trHeight w:val="290"/>
        </w:trPr>
        <w:tc>
          <w:tcPr>
            <w:tcW w:w="1530" w:type="dxa"/>
            <w:tcBorders>
              <w:top w:val="nil"/>
              <w:left w:val="nil"/>
              <w:bottom w:val="nil"/>
              <w:right w:val="nil"/>
            </w:tcBorders>
            <w:shd w:val="clear" w:color="auto" w:fill="auto"/>
            <w:noWrap/>
            <w:vAlign w:val="bottom"/>
            <w:hideMark/>
          </w:tcPr>
          <w:p w14:paraId="00DFA070"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MTA</w:t>
            </w:r>
          </w:p>
        </w:tc>
        <w:tc>
          <w:tcPr>
            <w:tcW w:w="6920" w:type="dxa"/>
            <w:tcBorders>
              <w:top w:val="nil"/>
              <w:left w:val="nil"/>
              <w:bottom w:val="nil"/>
              <w:right w:val="nil"/>
            </w:tcBorders>
            <w:shd w:val="clear" w:color="auto" w:fill="auto"/>
            <w:noWrap/>
            <w:vAlign w:val="bottom"/>
            <w:hideMark/>
          </w:tcPr>
          <w:p w14:paraId="1E1AA229" w14:textId="372E3762" w:rsidR="00727D4F" w:rsidRPr="00F22F32" w:rsidRDefault="004D5A62"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Ministry of Land and Environment</w:t>
            </w:r>
          </w:p>
        </w:tc>
      </w:tr>
      <w:tr w:rsidR="00F22F32" w:rsidRPr="00F22F32" w14:paraId="24A2CE88" w14:textId="77777777" w:rsidTr="011CE676">
        <w:trPr>
          <w:trHeight w:val="290"/>
        </w:trPr>
        <w:tc>
          <w:tcPr>
            <w:tcW w:w="1530" w:type="dxa"/>
            <w:tcBorders>
              <w:top w:val="nil"/>
              <w:left w:val="nil"/>
              <w:bottom w:val="nil"/>
              <w:right w:val="nil"/>
            </w:tcBorders>
            <w:shd w:val="clear" w:color="auto" w:fill="auto"/>
            <w:noWrap/>
            <w:vAlign w:val="bottom"/>
            <w:hideMark/>
          </w:tcPr>
          <w:p w14:paraId="695B4E9A"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MUAC</w:t>
            </w:r>
          </w:p>
        </w:tc>
        <w:tc>
          <w:tcPr>
            <w:tcW w:w="6920" w:type="dxa"/>
            <w:tcBorders>
              <w:top w:val="nil"/>
              <w:left w:val="nil"/>
              <w:bottom w:val="nil"/>
              <w:right w:val="nil"/>
            </w:tcBorders>
            <w:shd w:val="clear" w:color="auto" w:fill="auto"/>
            <w:noWrap/>
            <w:vAlign w:val="bottom"/>
            <w:hideMark/>
          </w:tcPr>
          <w:p w14:paraId="6EE364E6" w14:textId="1FD3D254"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 xml:space="preserve">Mid Upper Arm </w:t>
            </w:r>
            <w:r w:rsidR="004D5A62" w:rsidRPr="00F22F32">
              <w:rPr>
                <w:rFonts w:ascii="Calibri" w:eastAsia="Times New Roman" w:hAnsi="Calibri" w:cs="Calibri"/>
                <w:sz w:val="20"/>
                <w:szCs w:val="20"/>
                <w:lang w:bidi="ar-SA"/>
              </w:rPr>
              <w:t>Circumference</w:t>
            </w:r>
            <w:r w:rsidRPr="00F22F32">
              <w:rPr>
                <w:rFonts w:ascii="Calibri" w:eastAsia="Times New Roman" w:hAnsi="Calibri" w:cs="Calibri"/>
                <w:sz w:val="20"/>
                <w:szCs w:val="20"/>
                <w:lang w:bidi="ar-SA"/>
              </w:rPr>
              <w:t xml:space="preserve"> </w:t>
            </w:r>
          </w:p>
        </w:tc>
      </w:tr>
      <w:tr w:rsidR="00F22F32" w:rsidRPr="00F22F32" w14:paraId="3F785DE4" w14:textId="77777777" w:rsidTr="011CE676">
        <w:trPr>
          <w:trHeight w:val="290"/>
        </w:trPr>
        <w:tc>
          <w:tcPr>
            <w:tcW w:w="1530" w:type="dxa"/>
            <w:tcBorders>
              <w:top w:val="nil"/>
              <w:left w:val="nil"/>
              <w:bottom w:val="nil"/>
              <w:right w:val="nil"/>
            </w:tcBorders>
            <w:shd w:val="clear" w:color="auto" w:fill="auto"/>
            <w:noWrap/>
            <w:vAlign w:val="bottom"/>
            <w:hideMark/>
          </w:tcPr>
          <w:p w14:paraId="14D9FE5E"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NCD</w:t>
            </w:r>
          </w:p>
        </w:tc>
        <w:tc>
          <w:tcPr>
            <w:tcW w:w="6920" w:type="dxa"/>
            <w:tcBorders>
              <w:top w:val="nil"/>
              <w:left w:val="nil"/>
              <w:bottom w:val="nil"/>
              <w:right w:val="nil"/>
            </w:tcBorders>
            <w:shd w:val="clear" w:color="auto" w:fill="auto"/>
            <w:noWrap/>
            <w:vAlign w:val="bottom"/>
            <w:hideMark/>
          </w:tcPr>
          <w:p w14:paraId="0A001027" w14:textId="4A932F86" w:rsidR="00727D4F" w:rsidRPr="00F22F32" w:rsidRDefault="004D5A62"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Non-Communicable</w:t>
            </w:r>
            <w:r w:rsidR="00727D4F" w:rsidRPr="00F22F32">
              <w:rPr>
                <w:rFonts w:ascii="Calibri" w:eastAsia="Times New Roman" w:hAnsi="Calibri" w:cs="Calibri"/>
                <w:sz w:val="20"/>
                <w:szCs w:val="20"/>
                <w:lang w:bidi="ar-SA"/>
              </w:rPr>
              <w:t xml:space="preserve"> Diseases</w:t>
            </w:r>
          </w:p>
        </w:tc>
      </w:tr>
      <w:tr w:rsidR="00F22F32" w:rsidRPr="00F22F32" w14:paraId="431053E8" w14:textId="77777777" w:rsidTr="011CE676">
        <w:trPr>
          <w:trHeight w:val="290"/>
        </w:trPr>
        <w:tc>
          <w:tcPr>
            <w:tcW w:w="1530" w:type="dxa"/>
            <w:tcBorders>
              <w:top w:val="nil"/>
              <w:left w:val="nil"/>
              <w:bottom w:val="nil"/>
              <w:right w:val="nil"/>
            </w:tcBorders>
            <w:shd w:val="clear" w:color="auto" w:fill="auto"/>
            <w:noWrap/>
            <w:vAlign w:val="bottom"/>
            <w:hideMark/>
          </w:tcPr>
          <w:p w14:paraId="07B6D6BD"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NDVP</w:t>
            </w:r>
          </w:p>
        </w:tc>
        <w:tc>
          <w:tcPr>
            <w:tcW w:w="6920" w:type="dxa"/>
            <w:tcBorders>
              <w:top w:val="nil"/>
              <w:left w:val="nil"/>
              <w:bottom w:val="nil"/>
              <w:right w:val="nil"/>
            </w:tcBorders>
            <w:shd w:val="clear" w:color="auto" w:fill="auto"/>
            <w:noWrap/>
            <w:vAlign w:val="bottom"/>
            <w:hideMark/>
          </w:tcPr>
          <w:p w14:paraId="0C58BB26"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National Development Vaccination Plan</w:t>
            </w:r>
          </w:p>
        </w:tc>
      </w:tr>
      <w:tr w:rsidR="00F22F32" w:rsidRPr="00F22F32" w14:paraId="2E318FFE" w14:textId="77777777" w:rsidTr="011CE676">
        <w:trPr>
          <w:trHeight w:val="290"/>
        </w:trPr>
        <w:tc>
          <w:tcPr>
            <w:tcW w:w="1530" w:type="dxa"/>
            <w:tcBorders>
              <w:top w:val="nil"/>
              <w:left w:val="nil"/>
              <w:bottom w:val="nil"/>
              <w:right w:val="nil"/>
            </w:tcBorders>
            <w:shd w:val="clear" w:color="auto" w:fill="auto"/>
            <w:noWrap/>
            <w:vAlign w:val="bottom"/>
            <w:hideMark/>
          </w:tcPr>
          <w:p w14:paraId="646FC079"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NEP</w:t>
            </w:r>
          </w:p>
        </w:tc>
        <w:tc>
          <w:tcPr>
            <w:tcW w:w="6920" w:type="dxa"/>
            <w:tcBorders>
              <w:top w:val="nil"/>
              <w:left w:val="nil"/>
              <w:bottom w:val="nil"/>
              <w:right w:val="nil"/>
            </w:tcBorders>
            <w:shd w:val="clear" w:color="auto" w:fill="auto"/>
            <w:noWrap/>
            <w:vAlign w:val="bottom"/>
            <w:hideMark/>
          </w:tcPr>
          <w:p w14:paraId="2E37CFF4"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National Employment Policy</w:t>
            </w:r>
          </w:p>
        </w:tc>
      </w:tr>
      <w:tr w:rsidR="00F22F32" w:rsidRPr="00F22F32" w14:paraId="3EE60281" w14:textId="77777777" w:rsidTr="011CE676">
        <w:trPr>
          <w:trHeight w:val="290"/>
        </w:trPr>
        <w:tc>
          <w:tcPr>
            <w:tcW w:w="1530" w:type="dxa"/>
            <w:tcBorders>
              <w:top w:val="nil"/>
              <w:left w:val="nil"/>
              <w:bottom w:val="nil"/>
              <w:right w:val="nil"/>
            </w:tcBorders>
            <w:shd w:val="clear" w:color="auto" w:fill="auto"/>
            <w:noWrap/>
            <w:vAlign w:val="bottom"/>
            <w:hideMark/>
          </w:tcPr>
          <w:p w14:paraId="3E6DE0A2"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NRMC</w:t>
            </w:r>
          </w:p>
        </w:tc>
        <w:tc>
          <w:tcPr>
            <w:tcW w:w="6920" w:type="dxa"/>
            <w:tcBorders>
              <w:top w:val="nil"/>
              <w:left w:val="nil"/>
              <w:bottom w:val="nil"/>
              <w:right w:val="nil"/>
            </w:tcBorders>
            <w:shd w:val="clear" w:color="auto" w:fill="auto"/>
            <w:noWrap/>
            <w:vAlign w:val="bottom"/>
            <w:hideMark/>
          </w:tcPr>
          <w:p w14:paraId="184F8D22" w14:textId="6CC32D5A" w:rsidR="00727D4F" w:rsidRPr="00F22F32" w:rsidRDefault="004D5A62" w:rsidP="00727D4F">
            <w:pPr>
              <w:widowControl/>
              <w:autoSpaceDE/>
              <w:autoSpaceDN/>
              <w:rPr>
                <w:rFonts w:ascii="Calibri" w:eastAsia="Times New Roman" w:hAnsi="Calibri" w:cs="Calibri"/>
                <w:sz w:val="20"/>
                <w:szCs w:val="20"/>
                <w:lang w:bidi="ar-SA"/>
              </w:rPr>
            </w:pPr>
            <w:r w:rsidRPr="00F22F32">
              <w:rPr>
                <w:rFonts w:asciiTheme="majorHAnsi" w:eastAsia="Times New Roman" w:hAnsiTheme="majorHAnsi" w:cstheme="majorHAnsi"/>
                <w:sz w:val="20"/>
                <w:szCs w:val="20"/>
              </w:rPr>
              <w:t>Natural Resource Management Committees</w:t>
            </w:r>
          </w:p>
        </w:tc>
      </w:tr>
      <w:tr w:rsidR="00F22F32" w:rsidRPr="00F22F32" w14:paraId="2D1CE60D" w14:textId="77777777" w:rsidTr="011CE676">
        <w:trPr>
          <w:trHeight w:val="290"/>
        </w:trPr>
        <w:tc>
          <w:tcPr>
            <w:tcW w:w="1530" w:type="dxa"/>
            <w:tcBorders>
              <w:top w:val="nil"/>
              <w:left w:val="nil"/>
              <w:bottom w:val="nil"/>
              <w:right w:val="nil"/>
            </w:tcBorders>
            <w:shd w:val="clear" w:color="auto" w:fill="auto"/>
            <w:noWrap/>
            <w:vAlign w:val="bottom"/>
            <w:hideMark/>
          </w:tcPr>
          <w:p w14:paraId="1D15776A"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ODA</w:t>
            </w:r>
          </w:p>
        </w:tc>
        <w:tc>
          <w:tcPr>
            <w:tcW w:w="6920" w:type="dxa"/>
            <w:tcBorders>
              <w:top w:val="nil"/>
              <w:left w:val="nil"/>
              <w:bottom w:val="nil"/>
              <w:right w:val="nil"/>
            </w:tcBorders>
            <w:shd w:val="clear" w:color="auto" w:fill="auto"/>
            <w:noWrap/>
            <w:vAlign w:val="bottom"/>
            <w:hideMark/>
          </w:tcPr>
          <w:p w14:paraId="5B92E30A" w14:textId="5E6A3F65" w:rsidR="00727D4F" w:rsidRPr="00F22F32" w:rsidRDefault="004D5A62"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Official</w:t>
            </w:r>
            <w:r w:rsidR="00727D4F" w:rsidRPr="00F22F32">
              <w:rPr>
                <w:rFonts w:ascii="Calibri" w:eastAsia="Times New Roman" w:hAnsi="Calibri" w:cs="Calibri"/>
                <w:sz w:val="20"/>
                <w:szCs w:val="20"/>
                <w:lang w:bidi="ar-SA"/>
              </w:rPr>
              <w:t xml:space="preserve"> Development Assistance</w:t>
            </w:r>
          </w:p>
        </w:tc>
      </w:tr>
      <w:tr w:rsidR="00F22F32" w:rsidRPr="00F22F32" w14:paraId="7031105C" w14:textId="77777777" w:rsidTr="011CE676">
        <w:trPr>
          <w:trHeight w:val="290"/>
        </w:trPr>
        <w:tc>
          <w:tcPr>
            <w:tcW w:w="1530" w:type="dxa"/>
            <w:tcBorders>
              <w:top w:val="nil"/>
              <w:left w:val="nil"/>
              <w:bottom w:val="nil"/>
              <w:right w:val="nil"/>
            </w:tcBorders>
            <w:shd w:val="clear" w:color="auto" w:fill="auto"/>
            <w:noWrap/>
            <w:vAlign w:val="bottom"/>
            <w:hideMark/>
          </w:tcPr>
          <w:p w14:paraId="48B25E62"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PALOP</w:t>
            </w:r>
          </w:p>
        </w:tc>
        <w:tc>
          <w:tcPr>
            <w:tcW w:w="6920" w:type="dxa"/>
            <w:tcBorders>
              <w:top w:val="nil"/>
              <w:left w:val="nil"/>
              <w:bottom w:val="nil"/>
              <w:right w:val="nil"/>
            </w:tcBorders>
            <w:shd w:val="clear" w:color="auto" w:fill="auto"/>
            <w:noWrap/>
            <w:vAlign w:val="bottom"/>
            <w:hideMark/>
          </w:tcPr>
          <w:p w14:paraId="7DDBB163" w14:textId="48B46611" w:rsidR="00727D4F" w:rsidRPr="00F22F32" w:rsidRDefault="004D5A62"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 xml:space="preserve">African Portuguese Language Speaking Countries </w:t>
            </w:r>
          </w:p>
        </w:tc>
      </w:tr>
      <w:tr w:rsidR="00F22F32" w:rsidRPr="00F22F32" w14:paraId="29EFCE80" w14:textId="77777777" w:rsidTr="011CE676">
        <w:trPr>
          <w:trHeight w:val="290"/>
        </w:trPr>
        <w:tc>
          <w:tcPr>
            <w:tcW w:w="1530" w:type="dxa"/>
            <w:tcBorders>
              <w:top w:val="nil"/>
              <w:left w:val="nil"/>
              <w:bottom w:val="nil"/>
              <w:right w:val="nil"/>
            </w:tcBorders>
            <w:shd w:val="clear" w:color="auto" w:fill="auto"/>
            <w:noWrap/>
            <w:vAlign w:val="bottom"/>
            <w:hideMark/>
          </w:tcPr>
          <w:p w14:paraId="2F3DC06B"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PALPOC</w:t>
            </w:r>
          </w:p>
        </w:tc>
        <w:tc>
          <w:tcPr>
            <w:tcW w:w="6920" w:type="dxa"/>
            <w:tcBorders>
              <w:top w:val="nil"/>
              <w:left w:val="nil"/>
              <w:bottom w:val="nil"/>
              <w:right w:val="nil"/>
            </w:tcBorders>
            <w:shd w:val="clear" w:color="auto" w:fill="auto"/>
            <w:noWrap/>
            <w:vAlign w:val="bottom"/>
            <w:hideMark/>
          </w:tcPr>
          <w:p w14:paraId="6F0B9213" w14:textId="73CF3517" w:rsidR="00727D4F" w:rsidRPr="00F22F32" w:rsidRDefault="004D5A62" w:rsidP="00727D4F">
            <w:pPr>
              <w:widowControl/>
              <w:autoSpaceDE/>
              <w:autoSpaceDN/>
              <w:rPr>
                <w:rFonts w:asciiTheme="minorHAnsi" w:eastAsia="Times New Roman" w:hAnsiTheme="minorHAnsi" w:cstheme="minorHAnsi"/>
                <w:sz w:val="20"/>
                <w:szCs w:val="20"/>
                <w:lang w:bidi="ar-SA"/>
              </w:rPr>
            </w:pPr>
            <w:r w:rsidRPr="00F22F32">
              <w:rPr>
                <w:rFonts w:asciiTheme="minorHAnsi" w:hAnsiTheme="minorHAnsi" w:cstheme="minorHAnsi"/>
                <w:sz w:val="20"/>
                <w:szCs w:val="20"/>
              </w:rPr>
              <w:t>Housing Reconstruction and Rehabilitation Guideline</w:t>
            </w:r>
          </w:p>
        </w:tc>
      </w:tr>
      <w:tr w:rsidR="00F22F32" w:rsidRPr="00F22F32" w14:paraId="79909B83" w14:textId="77777777" w:rsidTr="011CE676">
        <w:trPr>
          <w:trHeight w:val="290"/>
        </w:trPr>
        <w:tc>
          <w:tcPr>
            <w:tcW w:w="1530" w:type="dxa"/>
            <w:tcBorders>
              <w:top w:val="nil"/>
              <w:left w:val="nil"/>
              <w:bottom w:val="nil"/>
              <w:right w:val="nil"/>
            </w:tcBorders>
            <w:shd w:val="clear" w:color="auto" w:fill="auto"/>
            <w:noWrap/>
            <w:vAlign w:val="bottom"/>
            <w:hideMark/>
          </w:tcPr>
          <w:p w14:paraId="6FD1D80B"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PAMRDC</w:t>
            </w:r>
          </w:p>
        </w:tc>
        <w:tc>
          <w:tcPr>
            <w:tcW w:w="6920" w:type="dxa"/>
            <w:tcBorders>
              <w:top w:val="nil"/>
              <w:left w:val="nil"/>
              <w:bottom w:val="nil"/>
              <w:right w:val="nil"/>
            </w:tcBorders>
            <w:shd w:val="clear" w:color="auto" w:fill="auto"/>
            <w:noWrap/>
            <w:vAlign w:val="bottom"/>
            <w:hideMark/>
          </w:tcPr>
          <w:p w14:paraId="605A0C24"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Action Plan for the Reduction of Chronic Malnutrition</w:t>
            </w:r>
          </w:p>
        </w:tc>
      </w:tr>
      <w:tr w:rsidR="00F22F32" w:rsidRPr="00F22F32" w14:paraId="7D211B8D" w14:textId="77777777" w:rsidTr="011CE676">
        <w:trPr>
          <w:trHeight w:val="290"/>
        </w:trPr>
        <w:tc>
          <w:tcPr>
            <w:tcW w:w="1530" w:type="dxa"/>
            <w:tcBorders>
              <w:top w:val="nil"/>
              <w:left w:val="nil"/>
              <w:bottom w:val="nil"/>
              <w:right w:val="nil"/>
            </w:tcBorders>
            <w:shd w:val="clear" w:color="auto" w:fill="auto"/>
            <w:noWrap/>
            <w:vAlign w:val="bottom"/>
            <w:hideMark/>
          </w:tcPr>
          <w:p w14:paraId="3BAAFA02"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PASD</w:t>
            </w:r>
          </w:p>
        </w:tc>
        <w:tc>
          <w:tcPr>
            <w:tcW w:w="6920" w:type="dxa"/>
            <w:tcBorders>
              <w:top w:val="nil"/>
              <w:left w:val="nil"/>
              <w:bottom w:val="nil"/>
              <w:right w:val="nil"/>
            </w:tcBorders>
            <w:shd w:val="clear" w:color="auto" w:fill="auto"/>
            <w:noWrap/>
            <w:vAlign w:val="bottom"/>
            <w:hideMark/>
          </w:tcPr>
          <w:p w14:paraId="2945FDAA" w14:textId="712D48A8" w:rsidR="00727D4F" w:rsidRPr="00F22F32" w:rsidRDefault="26F1602A" w:rsidP="00727D4F">
            <w:pPr>
              <w:widowControl/>
              <w:autoSpaceDE/>
              <w:autoSpaceDN/>
              <w:rPr>
                <w:rFonts w:ascii="Calibri" w:eastAsia="Times New Roman" w:hAnsi="Calibri" w:cs="Calibri"/>
                <w:sz w:val="20"/>
                <w:szCs w:val="20"/>
                <w:lang w:bidi="ar-SA"/>
              </w:rPr>
            </w:pPr>
            <w:r w:rsidRPr="011CE676">
              <w:rPr>
                <w:rFonts w:ascii="Calibri" w:eastAsia="Times New Roman" w:hAnsi="Calibri" w:cs="Calibri"/>
                <w:sz w:val="20"/>
                <w:szCs w:val="20"/>
                <w:lang w:bidi="ar-SA"/>
              </w:rPr>
              <w:t>Direct Social Assistance Scheme</w:t>
            </w:r>
          </w:p>
        </w:tc>
      </w:tr>
      <w:tr w:rsidR="00F22F32" w:rsidRPr="00F22F32" w14:paraId="4FF966A4" w14:textId="77777777" w:rsidTr="011CE676">
        <w:trPr>
          <w:trHeight w:val="290"/>
        </w:trPr>
        <w:tc>
          <w:tcPr>
            <w:tcW w:w="1530" w:type="dxa"/>
            <w:tcBorders>
              <w:top w:val="nil"/>
              <w:left w:val="nil"/>
              <w:bottom w:val="nil"/>
              <w:right w:val="nil"/>
            </w:tcBorders>
            <w:shd w:val="clear" w:color="auto" w:fill="auto"/>
            <w:noWrap/>
            <w:vAlign w:val="bottom"/>
            <w:hideMark/>
          </w:tcPr>
          <w:p w14:paraId="62AE9EA4"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PASP</w:t>
            </w:r>
          </w:p>
        </w:tc>
        <w:tc>
          <w:tcPr>
            <w:tcW w:w="6920" w:type="dxa"/>
            <w:tcBorders>
              <w:top w:val="nil"/>
              <w:left w:val="nil"/>
              <w:bottom w:val="nil"/>
              <w:right w:val="nil"/>
            </w:tcBorders>
            <w:shd w:val="clear" w:color="auto" w:fill="auto"/>
            <w:noWrap/>
            <w:vAlign w:val="bottom"/>
            <w:hideMark/>
          </w:tcPr>
          <w:p w14:paraId="6008E300"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Productive Social Protection Scheme</w:t>
            </w:r>
          </w:p>
        </w:tc>
      </w:tr>
      <w:tr w:rsidR="00F22F32" w:rsidRPr="00F22F32" w14:paraId="2227F2CE" w14:textId="77777777" w:rsidTr="011CE676">
        <w:trPr>
          <w:trHeight w:val="290"/>
        </w:trPr>
        <w:tc>
          <w:tcPr>
            <w:tcW w:w="1530" w:type="dxa"/>
            <w:tcBorders>
              <w:top w:val="nil"/>
              <w:left w:val="nil"/>
              <w:bottom w:val="nil"/>
              <w:right w:val="nil"/>
            </w:tcBorders>
            <w:shd w:val="clear" w:color="auto" w:fill="auto"/>
            <w:noWrap/>
            <w:vAlign w:val="bottom"/>
            <w:hideMark/>
          </w:tcPr>
          <w:p w14:paraId="2DE39425"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PDNA</w:t>
            </w:r>
          </w:p>
        </w:tc>
        <w:tc>
          <w:tcPr>
            <w:tcW w:w="6920" w:type="dxa"/>
            <w:tcBorders>
              <w:top w:val="nil"/>
              <w:left w:val="nil"/>
              <w:bottom w:val="nil"/>
              <w:right w:val="nil"/>
            </w:tcBorders>
            <w:shd w:val="clear" w:color="auto" w:fill="auto"/>
            <w:noWrap/>
            <w:vAlign w:val="bottom"/>
            <w:hideMark/>
          </w:tcPr>
          <w:p w14:paraId="0EB71EDE"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Post Disaster Needs Assessment</w:t>
            </w:r>
          </w:p>
        </w:tc>
      </w:tr>
      <w:tr w:rsidR="00F22F32" w:rsidRPr="00F22F32" w14:paraId="49240A43" w14:textId="77777777" w:rsidTr="011CE676">
        <w:trPr>
          <w:trHeight w:val="290"/>
        </w:trPr>
        <w:tc>
          <w:tcPr>
            <w:tcW w:w="1530" w:type="dxa"/>
            <w:tcBorders>
              <w:top w:val="nil"/>
              <w:left w:val="nil"/>
              <w:bottom w:val="nil"/>
              <w:right w:val="nil"/>
            </w:tcBorders>
            <w:shd w:val="clear" w:color="auto" w:fill="auto"/>
            <w:noWrap/>
            <w:vAlign w:val="bottom"/>
            <w:hideMark/>
          </w:tcPr>
          <w:p w14:paraId="719A9F9A"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PEB</w:t>
            </w:r>
          </w:p>
        </w:tc>
        <w:tc>
          <w:tcPr>
            <w:tcW w:w="6920" w:type="dxa"/>
            <w:tcBorders>
              <w:top w:val="nil"/>
              <w:left w:val="nil"/>
              <w:bottom w:val="nil"/>
              <w:right w:val="nil"/>
            </w:tcBorders>
            <w:shd w:val="clear" w:color="auto" w:fill="auto"/>
            <w:noWrap/>
            <w:vAlign w:val="bottom"/>
            <w:hideMark/>
          </w:tcPr>
          <w:p w14:paraId="53E9BDD2"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Pro-Employment Budgeting</w:t>
            </w:r>
          </w:p>
        </w:tc>
      </w:tr>
      <w:tr w:rsidR="00F22F32" w:rsidRPr="00F22F32" w14:paraId="027D3435" w14:textId="77777777" w:rsidTr="011CE676">
        <w:trPr>
          <w:trHeight w:val="290"/>
        </w:trPr>
        <w:tc>
          <w:tcPr>
            <w:tcW w:w="1530" w:type="dxa"/>
            <w:tcBorders>
              <w:top w:val="nil"/>
              <w:left w:val="nil"/>
              <w:bottom w:val="nil"/>
              <w:right w:val="nil"/>
            </w:tcBorders>
            <w:shd w:val="clear" w:color="auto" w:fill="auto"/>
            <w:noWrap/>
            <w:vAlign w:val="bottom"/>
            <w:hideMark/>
          </w:tcPr>
          <w:p w14:paraId="06AA988A"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PESOD</w:t>
            </w:r>
          </w:p>
        </w:tc>
        <w:tc>
          <w:tcPr>
            <w:tcW w:w="6920" w:type="dxa"/>
            <w:tcBorders>
              <w:top w:val="nil"/>
              <w:left w:val="nil"/>
              <w:bottom w:val="nil"/>
              <w:right w:val="nil"/>
            </w:tcBorders>
            <w:shd w:val="clear" w:color="auto" w:fill="auto"/>
            <w:noWrap/>
            <w:vAlign w:val="bottom"/>
            <w:hideMark/>
          </w:tcPr>
          <w:p w14:paraId="59AAA4B2" w14:textId="52E16948" w:rsidR="00727D4F" w:rsidRPr="00F22F32" w:rsidRDefault="034C36D7" w:rsidP="00727D4F">
            <w:pPr>
              <w:widowControl/>
              <w:autoSpaceDE/>
              <w:autoSpaceDN/>
              <w:rPr>
                <w:rFonts w:ascii="Calibri" w:eastAsia="Times New Roman" w:hAnsi="Calibri" w:cs="Calibri"/>
                <w:sz w:val="20"/>
                <w:szCs w:val="20"/>
                <w:lang w:bidi="ar-SA"/>
              </w:rPr>
            </w:pPr>
            <w:r w:rsidRPr="011CE676">
              <w:rPr>
                <w:rFonts w:ascii="Calibri" w:eastAsia="Times New Roman" w:hAnsi="Calibri" w:cs="Calibri"/>
                <w:sz w:val="20"/>
                <w:szCs w:val="20"/>
                <w:lang w:bidi="ar-SA"/>
              </w:rPr>
              <w:t>District Economic and Social Plan</w:t>
            </w:r>
          </w:p>
        </w:tc>
      </w:tr>
      <w:tr w:rsidR="00F22F32" w:rsidRPr="00F22F32" w14:paraId="6EE614AB" w14:textId="77777777" w:rsidTr="011CE676">
        <w:trPr>
          <w:trHeight w:val="290"/>
        </w:trPr>
        <w:tc>
          <w:tcPr>
            <w:tcW w:w="1530" w:type="dxa"/>
            <w:tcBorders>
              <w:top w:val="nil"/>
              <w:left w:val="nil"/>
              <w:bottom w:val="nil"/>
              <w:right w:val="nil"/>
            </w:tcBorders>
            <w:shd w:val="clear" w:color="auto" w:fill="auto"/>
            <w:noWrap/>
            <w:vAlign w:val="bottom"/>
            <w:hideMark/>
          </w:tcPr>
          <w:p w14:paraId="18488C2E"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PGR</w:t>
            </w:r>
          </w:p>
        </w:tc>
        <w:tc>
          <w:tcPr>
            <w:tcW w:w="6920" w:type="dxa"/>
            <w:tcBorders>
              <w:top w:val="nil"/>
              <w:left w:val="nil"/>
              <w:bottom w:val="nil"/>
              <w:right w:val="nil"/>
            </w:tcBorders>
            <w:shd w:val="clear" w:color="auto" w:fill="auto"/>
            <w:noWrap/>
            <w:vAlign w:val="bottom"/>
            <w:hideMark/>
          </w:tcPr>
          <w:p w14:paraId="323679A9" w14:textId="31671B37" w:rsidR="00727D4F" w:rsidRPr="00F22F32" w:rsidRDefault="1AC44604" w:rsidP="00727D4F">
            <w:pPr>
              <w:widowControl/>
              <w:autoSpaceDE/>
              <w:autoSpaceDN/>
              <w:rPr>
                <w:rFonts w:ascii="Calibri" w:eastAsia="Times New Roman" w:hAnsi="Calibri" w:cs="Calibri"/>
                <w:sz w:val="20"/>
                <w:szCs w:val="20"/>
                <w:lang w:bidi="ar-SA"/>
              </w:rPr>
            </w:pPr>
            <w:r w:rsidRPr="011CE676">
              <w:rPr>
                <w:rFonts w:ascii="Calibri" w:eastAsia="Times New Roman" w:hAnsi="Calibri" w:cs="Calibri"/>
                <w:sz w:val="20"/>
                <w:szCs w:val="20"/>
                <w:lang w:bidi="ar-SA"/>
              </w:rPr>
              <w:t>General Attonery’s Office</w:t>
            </w:r>
          </w:p>
        </w:tc>
      </w:tr>
      <w:tr w:rsidR="00F22F32" w:rsidRPr="00F22F32" w14:paraId="7DECF1F0" w14:textId="77777777" w:rsidTr="011CE676">
        <w:trPr>
          <w:trHeight w:val="290"/>
        </w:trPr>
        <w:tc>
          <w:tcPr>
            <w:tcW w:w="1530" w:type="dxa"/>
            <w:tcBorders>
              <w:top w:val="nil"/>
              <w:left w:val="nil"/>
              <w:bottom w:val="nil"/>
              <w:right w:val="nil"/>
            </w:tcBorders>
            <w:shd w:val="clear" w:color="auto" w:fill="auto"/>
            <w:noWrap/>
            <w:vAlign w:val="bottom"/>
            <w:hideMark/>
          </w:tcPr>
          <w:p w14:paraId="0BB3E0E1"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PLWHIV</w:t>
            </w:r>
          </w:p>
        </w:tc>
        <w:tc>
          <w:tcPr>
            <w:tcW w:w="6920" w:type="dxa"/>
            <w:tcBorders>
              <w:top w:val="nil"/>
              <w:left w:val="nil"/>
              <w:bottom w:val="nil"/>
              <w:right w:val="nil"/>
            </w:tcBorders>
            <w:shd w:val="clear" w:color="auto" w:fill="auto"/>
            <w:noWrap/>
            <w:vAlign w:val="bottom"/>
            <w:hideMark/>
          </w:tcPr>
          <w:p w14:paraId="0EC6DBDA"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People Living With HIV</w:t>
            </w:r>
          </w:p>
        </w:tc>
      </w:tr>
      <w:tr w:rsidR="00F22F32" w:rsidRPr="00F22F32" w14:paraId="6256756C" w14:textId="77777777" w:rsidTr="011CE676">
        <w:trPr>
          <w:trHeight w:val="290"/>
        </w:trPr>
        <w:tc>
          <w:tcPr>
            <w:tcW w:w="1530" w:type="dxa"/>
            <w:tcBorders>
              <w:top w:val="nil"/>
              <w:left w:val="nil"/>
              <w:bottom w:val="nil"/>
              <w:right w:val="nil"/>
            </w:tcBorders>
            <w:shd w:val="clear" w:color="auto" w:fill="auto"/>
            <w:noWrap/>
            <w:vAlign w:val="bottom"/>
            <w:hideMark/>
          </w:tcPr>
          <w:p w14:paraId="2C9B840A"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PRONAE</w:t>
            </w:r>
          </w:p>
        </w:tc>
        <w:tc>
          <w:tcPr>
            <w:tcW w:w="6920" w:type="dxa"/>
            <w:tcBorders>
              <w:top w:val="nil"/>
              <w:left w:val="nil"/>
              <w:bottom w:val="nil"/>
              <w:right w:val="nil"/>
            </w:tcBorders>
            <w:shd w:val="clear" w:color="auto" w:fill="auto"/>
            <w:noWrap/>
            <w:vAlign w:val="bottom"/>
            <w:hideMark/>
          </w:tcPr>
          <w:p w14:paraId="65254860"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National School Feeding Program</w:t>
            </w:r>
          </w:p>
        </w:tc>
      </w:tr>
      <w:tr w:rsidR="00F22F32" w:rsidRPr="00F22F32" w14:paraId="36DB0864" w14:textId="77777777" w:rsidTr="011CE676">
        <w:trPr>
          <w:trHeight w:val="290"/>
        </w:trPr>
        <w:tc>
          <w:tcPr>
            <w:tcW w:w="1530" w:type="dxa"/>
            <w:tcBorders>
              <w:top w:val="nil"/>
              <w:left w:val="nil"/>
              <w:bottom w:val="nil"/>
              <w:right w:val="nil"/>
            </w:tcBorders>
            <w:shd w:val="clear" w:color="auto" w:fill="auto"/>
            <w:noWrap/>
            <w:vAlign w:val="bottom"/>
            <w:hideMark/>
          </w:tcPr>
          <w:p w14:paraId="29E39550"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PSSB</w:t>
            </w:r>
          </w:p>
        </w:tc>
        <w:tc>
          <w:tcPr>
            <w:tcW w:w="6920" w:type="dxa"/>
            <w:tcBorders>
              <w:top w:val="nil"/>
              <w:left w:val="nil"/>
              <w:bottom w:val="nil"/>
              <w:right w:val="nil"/>
            </w:tcBorders>
            <w:shd w:val="clear" w:color="auto" w:fill="auto"/>
            <w:noWrap/>
            <w:vAlign w:val="bottom"/>
            <w:hideMark/>
          </w:tcPr>
          <w:p w14:paraId="1AE3F92E" w14:textId="430574B7" w:rsidR="00727D4F" w:rsidRPr="00F22F32" w:rsidRDefault="7120D7EE" w:rsidP="00727D4F">
            <w:pPr>
              <w:widowControl/>
              <w:autoSpaceDE/>
              <w:autoSpaceDN/>
              <w:rPr>
                <w:rFonts w:ascii="Calibri" w:eastAsia="Times New Roman" w:hAnsi="Calibri" w:cs="Calibri"/>
                <w:sz w:val="20"/>
                <w:szCs w:val="20"/>
                <w:lang w:bidi="ar-SA"/>
              </w:rPr>
            </w:pPr>
            <w:r w:rsidRPr="011CE676">
              <w:rPr>
                <w:rFonts w:ascii="Calibri" w:eastAsia="Times New Roman" w:hAnsi="Calibri" w:cs="Calibri"/>
                <w:sz w:val="20"/>
                <w:szCs w:val="20"/>
                <w:lang w:bidi="ar-SA"/>
              </w:rPr>
              <w:t>Bacic Social Security Plan</w:t>
            </w:r>
          </w:p>
        </w:tc>
      </w:tr>
      <w:tr w:rsidR="00F22F32" w:rsidRPr="00F22F32" w14:paraId="563DF08F" w14:textId="77777777" w:rsidTr="011CE676">
        <w:trPr>
          <w:trHeight w:val="290"/>
        </w:trPr>
        <w:tc>
          <w:tcPr>
            <w:tcW w:w="1530" w:type="dxa"/>
            <w:tcBorders>
              <w:top w:val="nil"/>
              <w:left w:val="nil"/>
              <w:bottom w:val="nil"/>
              <w:right w:val="nil"/>
            </w:tcBorders>
            <w:shd w:val="clear" w:color="auto" w:fill="auto"/>
            <w:noWrap/>
            <w:vAlign w:val="bottom"/>
            <w:hideMark/>
          </w:tcPr>
          <w:p w14:paraId="0BDDC464"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SADC</w:t>
            </w:r>
          </w:p>
        </w:tc>
        <w:tc>
          <w:tcPr>
            <w:tcW w:w="6920" w:type="dxa"/>
            <w:tcBorders>
              <w:top w:val="nil"/>
              <w:left w:val="nil"/>
              <w:bottom w:val="nil"/>
              <w:right w:val="nil"/>
            </w:tcBorders>
            <w:shd w:val="clear" w:color="auto" w:fill="auto"/>
            <w:noWrap/>
            <w:vAlign w:val="bottom"/>
            <w:hideMark/>
          </w:tcPr>
          <w:p w14:paraId="55C3DE8F"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Southern Africa Development Community</w:t>
            </w:r>
          </w:p>
        </w:tc>
      </w:tr>
      <w:tr w:rsidR="00F22F32" w:rsidRPr="00F22F32" w14:paraId="56AE480C" w14:textId="77777777" w:rsidTr="011CE676">
        <w:trPr>
          <w:trHeight w:val="290"/>
        </w:trPr>
        <w:tc>
          <w:tcPr>
            <w:tcW w:w="1530" w:type="dxa"/>
            <w:tcBorders>
              <w:top w:val="nil"/>
              <w:left w:val="nil"/>
              <w:bottom w:val="nil"/>
              <w:right w:val="nil"/>
            </w:tcBorders>
            <w:shd w:val="clear" w:color="auto" w:fill="auto"/>
            <w:noWrap/>
            <w:vAlign w:val="bottom"/>
            <w:hideMark/>
          </w:tcPr>
          <w:p w14:paraId="21428B46"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SAM</w:t>
            </w:r>
          </w:p>
        </w:tc>
        <w:tc>
          <w:tcPr>
            <w:tcW w:w="6920" w:type="dxa"/>
            <w:tcBorders>
              <w:top w:val="nil"/>
              <w:left w:val="nil"/>
              <w:bottom w:val="nil"/>
              <w:right w:val="nil"/>
            </w:tcBorders>
            <w:shd w:val="clear" w:color="auto" w:fill="auto"/>
            <w:noWrap/>
            <w:vAlign w:val="bottom"/>
            <w:hideMark/>
          </w:tcPr>
          <w:p w14:paraId="10E5B06F"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Severe Acute Malnutrition</w:t>
            </w:r>
          </w:p>
        </w:tc>
      </w:tr>
      <w:tr w:rsidR="00F22F32" w:rsidRPr="00F22F32" w14:paraId="350526C3" w14:textId="77777777" w:rsidTr="011CE676">
        <w:trPr>
          <w:trHeight w:val="290"/>
        </w:trPr>
        <w:tc>
          <w:tcPr>
            <w:tcW w:w="1530" w:type="dxa"/>
            <w:tcBorders>
              <w:top w:val="nil"/>
              <w:left w:val="nil"/>
              <w:bottom w:val="nil"/>
              <w:right w:val="nil"/>
            </w:tcBorders>
            <w:shd w:val="clear" w:color="auto" w:fill="auto"/>
            <w:noWrap/>
            <w:vAlign w:val="bottom"/>
            <w:hideMark/>
          </w:tcPr>
          <w:p w14:paraId="770ED743"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SBCC</w:t>
            </w:r>
          </w:p>
        </w:tc>
        <w:tc>
          <w:tcPr>
            <w:tcW w:w="6920" w:type="dxa"/>
            <w:tcBorders>
              <w:top w:val="nil"/>
              <w:left w:val="nil"/>
              <w:bottom w:val="nil"/>
              <w:right w:val="nil"/>
            </w:tcBorders>
            <w:shd w:val="clear" w:color="auto" w:fill="auto"/>
            <w:noWrap/>
            <w:vAlign w:val="bottom"/>
            <w:hideMark/>
          </w:tcPr>
          <w:p w14:paraId="0F651C8E" w14:textId="302364C0"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 xml:space="preserve">Social </w:t>
            </w:r>
            <w:r w:rsidR="004D5A62" w:rsidRPr="00F22F32">
              <w:rPr>
                <w:rFonts w:ascii="Calibri" w:eastAsia="Times New Roman" w:hAnsi="Calibri" w:cs="Calibri"/>
                <w:sz w:val="20"/>
                <w:szCs w:val="20"/>
                <w:lang w:bidi="ar-SA"/>
              </w:rPr>
              <w:t>Behavior</w:t>
            </w:r>
            <w:r w:rsidRPr="00F22F32">
              <w:rPr>
                <w:rFonts w:ascii="Calibri" w:eastAsia="Times New Roman" w:hAnsi="Calibri" w:cs="Calibri"/>
                <w:sz w:val="20"/>
                <w:szCs w:val="20"/>
                <w:lang w:bidi="ar-SA"/>
              </w:rPr>
              <w:t xml:space="preserve"> Change Communication</w:t>
            </w:r>
          </w:p>
        </w:tc>
      </w:tr>
      <w:tr w:rsidR="00F22F32" w:rsidRPr="00F22F32" w14:paraId="4ACA3E1A" w14:textId="77777777" w:rsidTr="011CE676">
        <w:trPr>
          <w:trHeight w:val="290"/>
        </w:trPr>
        <w:tc>
          <w:tcPr>
            <w:tcW w:w="1530" w:type="dxa"/>
            <w:tcBorders>
              <w:top w:val="nil"/>
              <w:left w:val="nil"/>
              <w:bottom w:val="nil"/>
              <w:right w:val="nil"/>
            </w:tcBorders>
            <w:shd w:val="clear" w:color="auto" w:fill="auto"/>
            <w:noWrap/>
            <w:vAlign w:val="bottom"/>
            <w:hideMark/>
          </w:tcPr>
          <w:p w14:paraId="21ACE301"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SDAE</w:t>
            </w:r>
          </w:p>
        </w:tc>
        <w:tc>
          <w:tcPr>
            <w:tcW w:w="6920" w:type="dxa"/>
            <w:tcBorders>
              <w:top w:val="nil"/>
              <w:left w:val="nil"/>
              <w:bottom w:val="nil"/>
              <w:right w:val="nil"/>
            </w:tcBorders>
            <w:shd w:val="clear" w:color="auto" w:fill="auto"/>
            <w:noWrap/>
            <w:vAlign w:val="bottom"/>
            <w:hideMark/>
          </w:tcPr>
          <w:p w14:paraId="008D60E1" w14:textId="78BAEF71" w:rsidR="00727D4F" w:rsidRPr="00F22F32" w:rsidRDefault="004D5A62" w:rsidP="00727D4F">
            <w:pPr>
              <w:widowControl/>
              <w:autoSpaceDE/>
              <w:autoSpaceDN/>
              <w:rPr>
                <w:rFonts w:ascii="Calibri" w:eastAsia="Times New Roman" w:hAnsi="Calibri" w:cs="Calibri"/>
                <w:sz w:val="20"/>
                <w:szCs w:val="20"/>
                <w:lang w:bidi="ar-SA"/>
              </w:rPr>
            </w:pPr>
            <w:r w:rsidRPr="00F22F32">
              <w:rPr>
                <w:rFonts w:asciiTheme="majorHAnsi" w:hAnsiTheme="majorHAnsi" w:cstheme="majorHAnsi"/>
                <w:sz w:val="20"/>
                <w:szCs w:val="20"/>
              </w:rPr>
              <w:t>District Services for Economic Activities</w:t>
            </w:r>
          </w:p>
        </w:tc>
      </w:tr>
      <w:tr w:rsidR="00F22F32" w:rsidRPr="00F22F32" w14:paraId="29C5A468" w14:textId="77777777" w:rsidTr="011CE676">
        <w:trPr>
          <w:trHeight w:val="290"/>
        </w:trPr>
        <w:tc>
          <w:tcPr>
            <w:tcW w:w="1530" w:type="dxa"/>
            <w:tcBorders>
              <w:top w:val="nil"/>
              <w:left w:val="nil"/>
              <w:bottom w:val="nil"/>
              <w:right w:val="nil"/>
            </w:tcBorders>
            <w:shd w:val="clear" w:color="auto" w:fill="auto"/>
            <w:noWrap/>
            <w:vAlign w:val="bottom"/>
            <w:hideMark/>
          </w:tcPr>
          <w:p w14:paraId="4BBD4549"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SEJE</w:t>
            </w:r>
          </w:p>
        </w:tc>
        <w:tc>
          <w:tcPr>
            <w:tcW w:w="6920" w:type="dxa"/>
            <w:tcBorders>
              <w:top w:val="nil"/>
              <w:left w:val="nil"/>
              <w:bottom w:val="nil"/>
              <w:right w:val="nil"/>
            </w:tcBorders>
            <w:shd w:val="clear" w:color="auto" w:fill="auto"/>
            <w:noWrap/>
            <w:vAlign w:val="bottom"/>
            <w:hideMark/>
          </w:tcPr>
          <w:p w14:paraId="3717DEA8"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State Secretary for Youth and Employment</w:t>
            </w:r>
          </w:p>
        </w:tc>
      </w:tr>
      <w:tr w:rsidR="00F22F32" w:rsidRPr="00F22F32" w14:paraId="11356D0C" w14:textId="77777777" w:rsidTr="011CE676">
        <w:trPr>
          <w:trHeight w:val="290"/>
        </w:trPr>
        <w:tc>
          <w:tcPr>
            <w:tcW w:w="1530" w:type="dxa"/>
            <w:tcBorders>
              <w:top w:val="nil"/>
              <w:left w:val="nil"/>
              <w:bottom w:val="nil"/>
              <w:right w:val="nil"/>
            </w:tcBorders>
            <w:shd w:val="clear" w:color="auto" w:fill="auto"/>
            <w:noWrap/>
            <w:vAlign w:val="bottom"/>
            <w:hideMark/>
          </w:tcPr>
          <w:p w14:paraId="1E40E74D"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SERNIC</w:t>
            </w:r>
          </w:p>
        </w:tc>
        <w:tc>
          <w:tcPr>
            <w:tcW w:w="6920" w:type="dxa"/>
            <w:tcBorders>
              <w:top w:val="nil"/>
              <w:left w:val="nil"/>
              <w:bottom w:val="nil"/>
              <w:right w:val="nil"/>
            </w:tcBorders>
            <w:shd w:val="clear" w:color="auto" w:fill="auto"/>
            <w:noWrap/>
            <w:vAlign w:val="bottom"/>
            <w:hideMark/>
          </w:tcPr>
          <w:p w14:paraId="3AF62D52" w14:textId="6848F334" w:rsidR="00727D4F" w:rsidRPr="00F22F32" w:rsidRDefault="004D5A62"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National Services for Criminal Investigations</w:t>
            </w:r>
          </w:p>
        </w:tc>
      </w:tr>
      <w:tr w:rsidR="00F22F32" w:rsidRPr="00F22F32" w14:paraId="0C484893" w14:textId="77777777" w:rsidTr="011CE676">
        <w:trPr>
          <w:trHeight w:val="290"/>
        </w:trPr>
        <w:tc>
          <w:tcPr>
            <w:tcW w:w="1530" w:type="dxa"/>
            <w:tcBorders>
              <w:top w:val="nil"/>
              <w:left w:val="nil"/>
              <w:bottom w:val="nil"/>
              <w:right w:val="nil"/>
            </w:tcBorders>
            <w:shd w:val="clear" w:color="auto" w:fill="auto"/>
            <w:noWrap/>
            <w:vAlign w:val="bottom"/>
            <w:hideMark/>
          </w:tcPr>
          <w:p w14:paraId="49A5190F"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SETSAN</w:t>
            </w:r>
          </w:p>
        </w:tc>
        <w:tc>
          <w:tcPr>
            <w:tcW w:w="6920" w:type="dxa"/>
            <w:tcBorders>
              <w:top w:val="nil"/>
              <w:left w:val="nil"/>
              <w:bottom w:val="nil"/>
              <w:right w:val="nil"/>
            </w:tcBorders>
            <w:shd w:val="clear" w:color="auto" w:fill="auto"/>
            <w:noWrap/>
            <w:vAlign w:val="bottom"/>
            <w:hideMark/>
          </w:tcPr>
          <w:p w14:paraId="5DBF3B06"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Technical Secretariat for Food Security and Nutrition</w:t>
            </w:r>
          </w:p>
        </w:tc>
      </w:tr>
      <w:tr w:rsidR="00F22F32" w:rsidRPr="00F22F32" w14:paraId="5A17E3D7" w14:textId="77777777" w:rsidTr="011CE676">
        <w:trPr>
          <w:trHeight w:val="290"/>
        </w:trPr>
        <w:tc>
          <w:tcPr>
            <w:tcW w:w="1530" w:type="dxa"/>
            <w:tcBorders>
              <w:top w:val="nil"/>
              <w:left w:val="nil"/>
              <w:bottom w:val="nil"/>
              <w:right w:val="nil"/>
            </w:tcBorders>
            <w:shd w:val="clear" w:color="auto" w:fill="auto"/>
            <w:noWrap/>
            <w:vAlign w:val="bottom"/>
            <w:hideMark/>
          </w:tcPr>
          <w:p w14:paraId="4C14D863"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SISTAFE</w:t>
            </w:r>
          </w:p>
        </w:tc>
        <w:tc>
          <w:tcPr>
            <w:tcW w:w="6920" w:type="dxa"/>
            <w:tcBorders>
              <w:top w:val="nil"/>
              <w:left w:val="nil"/>
              <w:bottom w:val="nil"/>
              <w:right w:val="nil"/>
            </w:tcBorders>
            <w:shd w:val="clear" w:color="auto" w:fill="auto"/>
            <w:noWrap/>
            <w:vAlign w:val="bottom"/>
            <w:hideMark/>
          </w:tcPr>
          <w:p w14:paraId="56BE3584" w14:textId="55CA8FC8" w:rsidR="00727D4F" w:rsidRPr="00F22F32" w:rsidRDefault="004D5A62" w:rsidP="00727D4F">
            <w:pPr>
              <w:widowControl/>
              <w:autoSpaceDE/>
              <w:autoSpaceDN/>
              <w:rPr>
                <w:rFonts w:ascii="Calibri" w:eastAsia="Times New Roman" w:hAnsi="Calibri" w:cs="Calibri"/>
                <w:sz w:val="20"/>
                <w:szCs w:val="20"/>
                <w:lang w:bidi="ar-SA"/>
              </w:rPr>
            </w:pPr>
            <w:r w:rsidRPr="00F22F32">
              <w:rPr>
                <w:rFonts w:asciiTheme="majorHAnsi" w:eastAsia="Times New Roman" w:hAnsiTheme="majorHAnsi" w:cstheme="majorHAnsi"/>
                <w:sz w:val="20"/>
                <w:szCs w:val="20"/>
              </w:rPr>
              <w:t>State Financial Administration System</w:t>
            </w:r>
          </w:p>
        </w:tc>
      </w:tr>
      <w:tr w:rsidR="00F22F32" w:rsidRPr="00F22F32" w14:paraId="6150A467" w14:textId="77777777" w:rsidTr="011CE676">
        <w:trPr>
          <w:trHeight w:val="290"/>
        </w:trPr>
        <w:tc>
          <w:tcPr>
            <w:tcW w:w="1530" w:type="dxa"/>
            <w:tcBorders>
              <w:top w:val="nil"/>
              <w:left w:val="nil"/>
              <w:bottom w:val="nil"/>
              <w:right w:val="nil"/>
            </w:tcBorders>
            <w:shd w:val="clear" w:color="auto" w:fill="auto"/>
            <w:noWrap/>
            <w:vAlign w:val="bottom"/>
            <w:hideMark/>
          </w:tcPr>
          <w:p w14:paraId="618C959B"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SMEs</w:t>
            </w:r>
          </w:p>
        </w:tc>
        <w:tc>
          <w:tcPr>
            <w:tcW w:w="6920" w:type="dxa"/>
            <w:tcBorders>
              <w:top w:val="nil"/>
              <w:left w:val="nil"/>
              <w:bottom w:val="nil"/>
              <w:right w:val="nil"/>
            </w:tcBorders>
            <w:shd w:val="clear" w:color="auto" w:fill="auto"/>
            <w:noWrap/>
            <w:vAlign w:val="bottom"/>
            <w:hideMark/>
          </w:tcPr>
          <w:p w14:paraId="695447BA"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Small and Medium Enterprises</w:t>
            </w:r>
          </w:p>
        </w:tc>
      </w:tr>
      <w:tr w:rsidR="00F22F32" w:rsidRPr="00F22F32" w14:paraId="3306A03C" w14:textId="77777777" w:rsidTr="011CE676">
        <w:trPr>
          <w:trHeight w:val="290"/>
        </w:trPr>
        <w:tc>
          <w:tcPr>
            <w:tcW w:w="1530" w:type="dxa"/>
            <w:tcBorders>
              <w:top w:val="nil"/>
              <w:left w:val="nil"/>
              <w:bottom w:val="nil"/>
              <w:right w:val="nil"/>
            </w:tcBorders>
            <w:shd w:val="clear" w:color="auto" w:fill="auto"/>
            <w:noWrap/>
            <w:vAlign w:val="bottom"/>
            <w:hideMark/>
          </w:tcPr>
          <w:p w14:paraId="6DBFEA97"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VAC</w:t>
            </w:r>
          </w:p>
        </w:tc>
        <w:tc>
          <w:tcPr>
            <w:tcW w:w="6920" w:type="dxa"/>
            <w:tcBorders>
              <w:top w:val="nil"/>
              <w:left w:val="nil"/>
              <w:bottom w:val="nil"/>
              <w:right w:val="nil"/>
            </w:tcBorders>
            <w:shd w:val="clear" w:color="auto" w:fill="auto"/>
            <w:noWrap/>
            <w:vAlign w:val="bottom"/>
            <w:hideMark/>
          </w:tcPr>
          <w:p w14:paraId="7697A7A0"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Violence Against Children</w:t>
            </w:r>
          </w:p>
        </w:tc>
      </w:tr>
      <w:tr w:rsidR="00F22F32" w:rsidRPr="00F22F32" w14:paraId="48B53258" w14:textId="77777777" w:rsidTr="011CE676">
        <w:trPr>
          <w:trHeight w:val="290"/>
        </w:trPr>
        <w:tc>
          <w:tcPr>
            <w:tcW w:w="1530" w:type="dxa"/>
            <w:tcBorders>
              <w:top w:val="nil"/>
              <w:left w:val="nil"/>
              <w:bottom w:val="nil"/>
              <w:right w:val="nil"/>
            </w:tcBorders>
            <w:shd w:val="clear" w:color="auto" w:fill="auto"/>
            <w:noWrap/>
            <w:vAlign w:val="bottom"/>
            <w:hideMark/>
          </w:tcPr>
          <w:p w14:paraId="203DE20F"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WASH</w:t>
            </w:r>
          </w:p>
        </w:tc>
        <w:tc>
          <w:tcPr>
            <w:tcW w:w="6920" w:type="dxa"/>
            <w:tcBorders>
              <w:top w:val="nil"/>
              <w:left w:val="nil"/>
              <w:bottom w:val="nil"/>
              <w:right w:val="nil"/>
            </w:tcBorders>
            <w:shd w:val="clear" w:color="auto" w:fill="auto"/>
            <w:noWrap/>
            <w:vAlign w:val="bottom"/>
            <w:hideMark/>
          </w:tcPr>
          <w:p w14:paraId="01161F23"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Water and Sanitation</w:t>
            </w:r>
          </w:p>
        </w:tc>
      </w:tr>
      <w:tr w:rsidR="00F22F32" w:rsidRPr="00F22F32" w14:paraId="4E878561" w14:textId="77777777" w:rsidTr="011CE676">
        <w:trPr>
          <w:trHeight w:val="290"/>
        </w:trPr>
        <w:tc>
          <w:tcPr>
            <w:tcW w:w="1530" w:type="dxa"/>
            <w:tcBorders>
              <w:top w:val="nil"/>
              <w:left w:val="nil"/>
              <w:bottom w:val="nil"/>
              <w:right w:val="nil"/>
            </w:tcBorders>
            <w:shd w:val="clear" w:color="auto" w:fill="auto"/>
            <w:noWrap/>
            <w:vAlign w:val="bottom"/>
            <w:hideMark/>
          </w:tcPr>
          <w:p w14:paraId="2780C407" w14:textId="77777777" w:rsidR="00727D4F" w:rsidRPr="00F22F32" w:rsidRDefault="00727D4F" w:rsidP="00727D4F">
            <w:pPr>
              <w:widowControl/>
              <w:autoSpaceDE/>
              <w:autoSpaceDN/>
              <w:rPr>
                <w:rFonts w:ascii="Calibri" w:eastAsia="Times New Roman" w:hAnsi="Calibri" w:cs="Calibri"/>
                <w:sz w:val="20"/>
                <w:szCs w:val="20"/>
                <w:lang w:bidi="ar-SA"/>
              </w:rPr>
            </w:pPr>
            <w:r w:rsidRPr="00F22F32">
              <w:rPr>
                <w:rFonts w:ascii="Calibri" w:eastAsia="Times New Roman" w:hAnsi="Calibri" w:cs="Calibri"/>
                <w:sz w:val="20"/>
                <w:szCs w:val="20"/>
                <w:lang w:bidi="ar-SA"/>
              </w:rPr>
              <w:t>WCU</w:t>
            </w:r>
          </w:p>
        </w:tc>
        <w:tc>
          <w:tcPr>
            <w:tcW w:w="6920" w:type="dxa"/>
            <w:tcBorders>
              <w:top w:val="nil"/>
              <w:left w:val="nil"/>
              <w:bottom w:val="nil"/>
              <w:right w:val="nil"/>
            </w:tcBorders>
            <w:shd w:val="clear" w:color="auto" w:fill="auto"/>
            <w:noWrap/>
            <w:vAlign w:val="bottom"/>
            <w:hideMark/>
          </w:tcPr>
          <w:p w14:paraId="11ED0FE5" w14:textId="5F8ABA79" w:rsidR="00727D4F" w:rsidRPr="00F22F32" w:rsidRDefault="004D5A62" w:rsidP="00727D4F">
            <w:pPr>
              <w:widowControl/>
              <w:autoSpaceDE/>
              <w:autoSpaceDN/>
              <w:rPr>
                <w:rFonts w:asciiTheme="minorHAnsi" w:eastAsia="Times New Roman" w:hAnsiTheme="minorHAnsi" w:cstheme="minorHAnsi"/>
                <w:sz w:val="20"/>
                <w:szCs w:val="20"/>
                <w:lang w:bidi="ar-SA"/>
              </w:rPr>
            </w:pPr>
            <w:r w:rsidRPr="00F22F32">
              <w:rPr>
                <w:rFonts w:asciiTheme="minorHAnsi" w:eastAsia="Times New Roman" w:hAnsiTheme="minorHAnsi" w:cstheme="minorHAnsi"/>
                <w:sz w:val="20"/>
                <w:szCs w:val="20"/>
              </w:rPr>
              <w:t xml:space="preserve">Wildlife Crime Response </w:t>
            </w:r>
            <w:r w:rsidR="007B16BF" w:rsidRPr="00F22F32">
              <w:rPr>
                <w:rFonts w:asciiTheme="minorHAnsi" w:eastAsia="Times New Roman" w:hAnsiTheme="minorHAnsi" w:cstheme="minorHAnsi"/>
                <w:sz w:val="20"/>
                <w:szCs w:val="20"/>
              </w:rPr>
              <w:t>Unit</w:t>
            </w:r>
          </w:p>
        </w:tc>
      </w:tr>
    </w:tbl>
    <w:p w14:paraId="2FE07F6A" w14:textId="77777777" w:rsidR="00A129F3" w:rsidRDefault="00A129F3" w:rsidP="00A129F3">
      <w:pPr>
        <w:rPr>
          <w:w w:val="95"/>
        </w:rPr>
      </w:pPr>
    </w:p>
    <w:p w14:paraId="4AE71421" w14:textId="77777777" w:rsidR="00A129F3" w:rsidRDefault="00A129F3">
      <w:pPr>
        <w:widowControl/>
        <w:autoSpaceDE/>
        <w:autoSpaceDN/>
        <w:spacing w:after="160" w:line="259" w:lineRule="auto"/>
        <w:rPr>
          <w:rFonts w:asciiTheme="majorHAnsi" w:eastAsiaTheme="majorEastAsia" w:hAnsiTheme="majorHAnsi" w:cstheme="majorBidi"/>
          <w:b/>
          <w:bCs/>
          <w:w w:val="95"/>
          <w:sz w:val="32"/>
          <w:szCs w:val="32"/>
        </w:rPr>
      </w:pPr>
      <w:r>
        <w:rPr>
          <w:b/>
          <w:bCs/>
          <w:w w:val="95"/>
        </w:rPr>
        <w:br w:type="page"/>
      </w:r>
    </w:p>
    <w:p w14:paraId="7BC0BF5E" w14:textId="5284C785" w:rsidR="00826152" w:rsidRPr="00F22F32" w:rsidRDefault="00090DD7" w:rsidP="005414A9">
      <w:pPr>
        <w:pStyle w:val="Heading1"/>
        <w:rPr>
          <w:b/>
          <w:bCs/>
          <w:color w:val="auto"/>
          <w:w w:val="95"/>
        </w:rPr>
      </w:pPr>
      <w:bookmarkStart w:id="1" w:name="_Toc71207060"/>
      <w:r w:rsidRPr="00F22F32">
        <w:rPr>
          <w:b/>
          <w:bCs/>
          <w:color w:val="auto"/>
          <w:w w:val="95"/>
        </w:rPr>
        <w:lastRenderedPageBreak/>
        <w:t>Foreword</w:t>
      </w:r>
      <w:bookmarkEnd w:id="1"/>
    </w:p>
    <w:p w14:paraId="6464EE94" w14:textId="3495CCFA" w:rsidR="00090DD7" w:rsidRPr="00F22F32" w:rsidRDefault="00090DD7"/>
    <w:p w14:paraId="5084E9FA" w14:textId="77777777" w:rsidR="005B27FF" w:rsidRDefault="005B27FF" w:rsidP="03239B7C">
      <w:pPr>
        <w:jc w:val="both"/>
        <w:rPr>
          <w:rFonts w:ascii="Calibri" w:eastAsia="Calibri" w:hAnsi="Calibri" w:cs="Calibri"/>
          <w:sz w:val="21"/>
          <w:szCs w:val="21"/>
          <w:lang w:val="es-US"/>
        </w:rPr>
        <w:sectPr w:rsidR="005B27FF" w:rsidSect="00090DD7">
          <w:footerReference w:type="default" r:id="rId12"/>
          <w:pgSz w:w="12240" w:h="15840"/>
          <w:pgMar w:top="1440" w:right="1440" w:bottom="1440" w:left="1440" w:header="720" w:footer="720" w:gutter="0"/>
          <w:pgNumType w:start="0"/>
          <w:cols w:space="720"/>
          <w:titlePg/>
          <w:docGrid w:linePitch="360"/>
        </w:sectPr>
      </w:pPr>
    </w:p>
    <w:p w14:paraId="1AA49F4A" w14:textId="70037AA4" w:rsidR="7047FDED" w:rsidRPr="00687C14" w:rsidRDefault="7047FDED" w:rsidP="03239B7C">
      <w:pPr>
        <w:jc w:val="both"/>
        <w:rPr>
          <w:rFonts w:ascii="Calibri Light" w:hAnsi="Calibri Light"/>
          <w:sz w:val="20"/>
          <w:szCs w:val="20"/>
        </w:rPr>
      </w:pPr>
      <w:r w:rsidRPr="00687C14">
        <w:rPr>
          <w:rFonts w:ascii="Calibri Light" w:eastAsia="Calibri" w:hAnsi="Calibri Light" w:cs="Calibri"/>
          <w:sz w:val="20"/>
          <w:szCs w:val="20"/>
          <w:lang w:val="es-US"/>
        </w:rPr>
        <w:t>On behalf of the United Nations in Mozambique, I am pleased to present the 2020 progress report of the United Nations Development Framework (UNDAF 2017-2021). As you all know, this Cooperation Framework was formulated jointly by the Government of Mozambique and the UN System in 2015-16. The document identifies strategic and collective contributions of the United Nations Funds, Programmes and Specialized Agencies in support of the country’s development priorities as stated in the Government’s Five Year-Plan (</w:t>
      </w:r>
      <w:r w:rsidRPr="00687C14">
        <w:rPr>
          <w:rFonts w:ascii="Calibri Light" w:eastAsia="Calibri" w:hAnsi="Calibri Light" w:cs="Calibri"/>
          <w:i/>
          <w:iCs/>
          <w:sz w:val="20"/>
          <w:szCs w:val="20"/>
          <w:lang w:val="es-US"/>
        </w:rPr>
        <w:t>Plano Quinquenal do Governo – PQG</w:t>
      </w:r>
      <w:r w:rsidRPr="00687C14">
        <w:rPr>
          <w:rFonts w:ascii="Calibri Light" w:eastAsia="Calibri" w:hAnsi="Calibri Light" w:cs="Calibri"/>
          <w:sz w:val="20"/>
          <w:szCs w:val="20"/>
          <w:lang w:val="es-US"/>
        </w:rPr>
        <w:t xml:space="preserve">) and the 2030 Agenda. </w:t>
      </w:r>
    </w:p>
    <w:p w14:paraId="41A9BD63" w14:textId="04962944" w:rsidR="7047FDED" w:rsidRPr="00687C14" w:rsidRDefault="7047FDED" w:rsidP="03239B7C">
      <w:pPr>
        <w:jc w:val="both"/>
        <w:rPr>
          <w:rFonts w:ascii="Calibri Light" w:hAnsi="Calibri Light"/>
          <w:sz w:val="20"/>
          <w:szCs w:val="20"/>
        </w:rPr>
      </w:pPr>
      <w:r w:rsidRPr="00687C14">
        <w:rPr>
          <w:rFonts w:ascii="Calibri Light" w:eastAsia="Calibri" w:hAnsi="Calibri Light" w:cs="Calibri"/>
          <w:sz w:val="20"/>
          <w:szCs w:val="20"/>
          <w:lang w:val="es-US"/>
        </w:rPr>
        <w:t xml:space="preserve"> </w:t>
      </w:r>
    </w:p>
    <w:p w14:paraId="26141D1D" w14:textId="7485790A" w:rsidR="7047FDED" w:rsidRPr="00687C14" w:rsidRDefault="7047FDED" w:rsidP="03239B7C">
      <w:pPr>
        <w:jc w:val="both"/>
        <w:rPr>
          <w:rFonts w:ascii="Calibri Light" w:hAnsi="Calibri Light"/>
          <w:sz w:val="20"/>
          <w:szCs w:val="20"/>
        </w:rPr>
      </w:pPr>
      <w:r w:rsidRPr="00687C14">
        <w:rPr>
          <w:rFonts w:ascii="Calibri Light" w:eastAsia="Calibri" w:hAnsi="Calibri Light" w:cs="Calibri"/>
          <w:sz w:val="20"/>
          <w:szCs w:val="20"/>
          <w:lang w:val="es-US"/>
        </w:rPr>
        <w:t>This report follows the 2019 United Nations Sustainable Development Cooperation Framework and the results are organized around the 10 Outcomes (i) Food Security, (ii) Economic Transformation, (iii) Education, (iv) Gender, (v) Social Protection, (vi) Health, (vii) Youth, (viii) Governance, (ix) Natural Resources Management and (x) Resilience. For each Outcome, the report presents the context, achievements (including the updated results matrix), challenges and lessons learnt.</w:t>
      </w:r>
    </w:p>
    <w:p w14:paraId="0A63F00C" w14:textId="57A6FB95" w:rsidR="7047FDED" w:rsidRPr="00687C14" w:rsidRDefault="7047FDED" w:rsidP="03239B7C">
      <w:pPr>
        <w:jc w:val="both"/>
        <w:rPr>
          <w:rFonts w:ascii="Calibri Light" w:hAnsi="Calibri Light"/>
          <w:sz w:val="20"/>
          <w:szCs w:val="20"/>
        </w:rPr>
      </w:pPr>
      <w:r w:rsidRPr="00687C14">
        <w:rPr>
          <w:rFonts w:ascii="Calibri Light" w:eastAsia="Calibri" w:hAnsi="Calibri Light" w:cs="Calibri"/>
          <w:sz w:val="20"/>
          <w:szCs w:val="20"/>
          <w:lang w:val="es-US"/>
        </w:rPr>
        <w:t xml:space="preserve"> </w:t>
      </w:r>
    </w:p>
    <w:p w14:paraId="7D20C8B9" w14:textId="2B575483" w:rsidR="7047FDED" w:rsidRPr="00687C14" w:rsidRDefault="7047FDED" w:rsidP="03239B7C">
      <w:pPr>
        <w:jc w:val="both"/>
        <w:rPr>
          <w:rFonts w:ascii="Calibri Light" w:hAnsi="Calibri Light"/>
          <w:sz w:val="20"/>
          <w:szCs w:val="20"/>
        </w:rPr>
      </w:pPr>
      <w:r w:rsidRPr="00687C14">
        <w:rPr>
          <w:rFonts w:ascii="Calibri Light" w:eastAsia="Calibri" w:hAnsi="Calibri Light" w:cs="Calibri"/>
          <w:sz w:val="20"/>
          <w:szCs w:val="20"/>
          <w:lang w:val="es-US"/>
        </w:rPr>
        <w:t xml:space="preserve">The year 2020 was marked by the spread of the COVID-19 pandemic and intensification of the insecurity and violence in the northern part of the country. In fact, Mozambique notified the first COVID-10 case on 22nd of March 2020. From that period up to December 2020 Mozambique had reported a cumulative of 18.642, among them 166 deaths, 16.663 recovered. All the 11 Provinces reported cases and about 87% of the District reported the cases. The peak of the cases of the first wave occurred in the month of July. At the same time, aggravation of the </w:t>
      </w:r>
      <w:r w:rsidRPr="00687C14">
        <w:rPr>
          <w:rFonts w:ascii="Calibri Light" w:eastAsia="Calibri" w:hAnsi="Calibri Light" w:cs="Calibri"/>
          <w:sz w:val="20"/>
          <w:szCs w:val="20"/>
          <w:lang w:val="es-US"/>
        </w:rPr>
        <w:t xml:space="preserve">violent attacks by non-state armed groups in Cabo Delgado caused an estimated loss of over 2,000 lives, the displacement of 550,000 people (750,000 people by March 2021). </w:t>
      </w:r>
    </w:p>
    <w:p w14:paraId="5DE1F8B2" w14:textId="0261D1BC" w:rsidR="7047FDED" w:rsidRPr="00687C14" w:rsidRDefault="7047FDED" w:rsidP="03239B7C">
      <w:pPr>
        <w:jc w:val="both"/>
        <w:rPr>
          <w:rFonts w:ascii="Calibri Light" w:hAnsi="Calibri Light"/>
          <w:sz w:val="20"/>
          <w:szCs w:val="20"/>
        </w:rPr>
      </w:pPr>
      <w:r w:rsidRPr="00687C14">
        <w:rPr>
          <w:rFonts w:ascii="Calibri Light" w:eastAsia="Calibri" w:hAnsi="Calibri Light" w:cs="Calibri"/>
          <w:sz w:val="20"/>
          <w:szCs w:val="20"/>
          <w:lang w:val="es-US"/>
        </w:rPr>
        <w:t xml:space="preserve"> </w:t>
      </w:r>
    </w:p>
    <w:p w14:paraId="0D0AADCD" w14:textId="2E4B501F" w:rsidR="7047FDED" w:rsidRPr="00687C14" w:rsidRDefault="7047FDED" w:rsidP="03239B7C">
      <w:pPr>
        <w:jc w:val="both"/>
        <w:rPr>
          <w:rFonts w:ascii="Calibri Light" w:hAnsi="Calibri Light"/>
          <w:sz w:val="20"/>
          <w:szCs w:val="20"/>
        </w:rPr>
      </w:pPr>
      <w:r w:rsidRPr="00687C14">
        <w:rPr>
          <w:rFonts w:ascii="Calibri Light" w:eastAsia="Calibri" w:hAnsi="Calibri Light" w:cs="Calibri"/>
          <w:sz w:val="20"/>
          <w:szCs w:val="20"/>
          <w:lang w:val="es-US"/>
        </w:rPr>
        <w:t xml:space="preserve">The UN system in Mozambique remains committed to supporting the Government and the persons living in Mozambique to achieve the 2030 Agenda and to accelerate the implementation of the Sustainable Development Goals (SDGs). Internally, the UN system is committed to further implement the Delivering as One, investing more and more to jointly interact with Government and development partners. </w:t>
      </w:r>
    </w:p>
    <w:p w14:paraId="53B40301" w14:textId="1BDEB0BC" w:rsidR="7047FDED" w:rsidRPr="00687C14" w:rsidRDefault="7047FDED" w:rsidP="03239B7C">
      <w:pPr>
        <w:jc w:val="both"/>
        <w:rPr>
          <w:rFonts w:ascii="Calibri Light" w:hAnsi="Calibri Light"/>
          <w:sz w:val="20"/>
          <w:szCs w:val="20"/>
        </w:rPr>
      </w:pPr>
      <w:r w:rsidRPr="00687C14">
        <w:rPr>
          <w:rFonts w:ascii="Calibri Light" w:eastAsia="Calibri" w:hAnsi="Calibri Light" w:cs="Calibri"/>
          <w:sz w:val="20"/>
          <w:szCs w:val="20"/>
          <w:lang w:val="es-US"/>
        </w:rPr>
        <w:t xml:space="preserve"> </w:t>
      </w:r>
    </w:p>
    <w:p w14:paraId="02843F47" w14:textId="312EAF45" w:rsidR="7047FDED" w:rsidRPr="00687C14" w:rsidRDefault="7047FDED" w:rsidP="03239B7C">
      <w:pPr>
        <w:jc w:val="both"/>
        <w:rPr>
          <w:rFonts w:ascii="Calibri Light" w:hAnsi="Calibri Light"/>
          <w:sz w:val="20"/>
          <w:szCs w:val="20"/>
        </w:rPr>
      </w:pPr>
      <w:r w:rsidRPr="00687C14">
        <w:rPr>
          <w:rFonts w:ascii="Calibri Light" w:eastAsia="Calibri" w:hAnsi="Calibri Light" w:cs="Calibri"/>
          <w:sz w:val="20"/>
          <w:szCs w:val="20"/>
          <w:lang w:val="es-US"/>
        </w:rPr>
        <w:t>The preparation of this report was possible due to the dedicated efforts of the Programme Management Team (PMT) and the Monitoring and Evaluation Resource Group (M&amp;ERG), with the support of the Resident Coordinator’s Office (RCO). Despite the challenges cause by the Emergency Law following the COVID-19 pandemic, I am happy to see the that we have managed to put together our collective achievements in one document. My appreciation goes also to the Heads of Agency who have created the conditions to make this work possible.</w:t>
      </w:r>
    </w:p>
    <w:p w14:paraId="08642160" w14:textId="303D2A04" w:rsidR="7047FDED" w:rsidRPr="00687C14" w:rsidRDefault="7047FDED" w:rsidP="03239B7C">
      <w:pPr>
        <w:jc w:val="both"/>
        <w:rPr>
          <w:rFonts w:ascii="Calibri Light" w:hAnsi="Calibri Light"/>
          <w:sz w:val="20"/>
          <w:szCs w:val="20"/>
        </w:rPr>
      </w:pPr>
      <w:r w:rsidRPr="00687C14">
        <w:rPr>
          <w:rFonts w:ascii="Calibri Light" w:eastAsia="Calibri" w:hAnsi="Calibri Light" w:cs="Calibri"/>
          <w:sz w:val="20"/>
          <w:szCs w:val="20"/>
          <w:lang w:val="es-US"/>
        </w:rPr>
        <w:t xml:space="preserve"> </w:t>
      </w:r>
    </w:p>
    <w:p w14:paraId="75D3DA13" w14:textId="1D06B877" w:rsidR="7047FDED" w:rsidRPr="00687C14" w:rsidRDefault="7047FDED" w:rsidP="03239B7C">
      <w:pPr>
        <w:jc w:val="both"/>
        <w:rPr>
          <w:rFonts w:ascii="Calibri Light" w:hAnsi="Calibri Light"/>
          <w:sz w:val="20"/>
          <w:szCs w:val="20"/>
        </w:rPr>
      </w:pPr>
      <w:r w:rsidRPr="00687C14">
        <w:rPr>
          <w:rFonts w:ascii="Calibri Light" w:eastAsia="Calibri" w:hAnsi="Calibri Light" w:cs="Calibri"/>
          <w:sz w:val="20"/>
          <w:szCs w:val="20"/>
          <w:lang w:val="es-US"/>
        </w:rPr>
        <w:t xml:space="preserve">I take this opportunity to thank all our partners in Government, CSOs, academic circles, the media and Mozambique’s Development Partners for the joint work and collaboration in the implementation of the UNDAF. </w:t>
      </w:r>
    </w:p>
    <w:p w14:paraId="447EC439" w14:textId="0EA52433" w:rsidR="7047FDED" w:rsidRPr="00687C14" w:rsidRDefault="7047FDED" w:rsidP="03239B7C">
      <w:pPr>
        <w:jc w:val="both"/>
        <w:rPr>
          <w:rFonts w:ascii="Calibri Light" w:hAnsi="Calibri Light"/>
          <w:sz w:val="20"/>
          <w:szCs w:val="20"/>
        </w:rPr>
      </w:pPr>
      <w:r w:rsidRPr="00687C14">
        <w:rPr>
          <w:rFonts w:ascii="Calibri Light" w:eastAsia="Calibri" w:hAnsi="Calibri Light" w:cs="Calibri"/>
          <w:sz w:val="20"/>
          <w:szCs w:val="20"/>
          <w:lang w:val="es-US"/>
        </w:rPr>
        <w:t xml:space="preserve"> </w:t>
      </w:r>
    </w:p>
    <w:p w14:paraId="046B5280" w14:textId="17C513F4" w:rsidR="7047FDED" w:rsidRPr="00687C14" w:rsidRDefault="7047FDED" w:rsidP="03239B7C">
      <w:pPr>
        <w:jc w:val="both"/>
        <w:rPr>
          <w:rFonts w:ascii="Calibri Light" w:hAnsi="Calibri Light"/>
          <w:sz w:val="20"/>
          <w:szCs w:val="20"/>
        </w:rPr>
      </w:pPr>
      <w:r w:rsidRPr="00687C14">
        <w:rPr>
          <w:rFonts w:ascii="Calibri Light" w:eastAsia="Calibri" w:hAnsi="Calibri Light" w:cs="Calibri"/>
          <w:sz w:val="20"/>
          <w:szCs w:val="20"/>
          <w:lang w:val="es-US"/>
        </w:rPr>
        <w:t>We look forward to fruitful discussions on the contents of the report.</w:t>
      </w:r>
    </w:p>
    <w:p w14:paraId="26E34115" w14:textId="77777777" w:rsidR="005B27FF" w:rsidRPr="00687C14" w:rsidRDefault="005B27FF" w:rsidP="03239B7C">
      <w:pPr>
        <w:jc w:val="both"/>
        <w:rPr>
          <w:rFonts w:ascii="Calibri Light" w:eastAsia="Calibri" w:hAnsi="Calibri Light" w:cs="Calibri"/>
          <w:sz w:val="20"/>
          <w:szCs w:val="20"/>
          <w:lang w:val="es-US"/>
        </w:rPr>
        <w:sectPr w:rsidR="005B27FF" w:rsidRPr="00687C14" w:rsidSect="005B27FF">
          <w:type w:val="continuous"/>
          <w:pgSz w:w="12240" w:h="15840"/>
          <w:pgMar w:top="1440" w:right="1440" w:bottom="1440" w:left="1440" w:header="720" w:footer="720" w:gutter="0"/>
          <w:pgNumType w:start="0"/>
          <w:cols w:num="2" w:space="720"/>
          <w:titlePg/>
          <w:docGrid w:linePitch="360"/>
        </w:sectPr>
      </w:pPr>
    </w:p>
    <w:p w14:paraId="79E11818" w14:textId="16110B17" w:rsidR="7047FDED" w:rsidRPr="00687C14" w:rsidRDefault="7047FDED" w:rsidP="03239B7C">
      <w:pPr>
        <w:jc w:val="both"/>
        <w:rPr>
          <w:rFonts w:ascii="Calibri Light" w:hAnsi="Calibri Light"/>
          <w:sz w:val="20"/>
          <w:szCs w:val="20"/>
        </w:rPr>
      </w:pPr>
      <w:r w:rsidRPr="00687C14">
        <w:rPr>
          <w:rFonts w:ascii="Calibri Light" w:eastAsia="Calibri" w:hAnsi="Calibri Light" w:cs="Calibri"/>
          <w:sz w:val="20"/>
          <w:szCs w:val="20"/>
          <w:lang w:val="es-US"/>
        </w:rPr>
        <w:t xml:space="preserve"> </w:t>
      </w:r>
    </w:p>
    <w:p w14:paraId="0E564440" w14:textId="732AD20A" w:rsidR="7047FDED" w:rsidRPr="00687C14" w:rsidRDefault="7047FDED" w:rsidP="03239B7C">
      <w:pPr>
        <w:jc w:val="center"/>
        <w:rPr>
          <w:rFonts w:ascii="Calibri Light" w:hAnsi="Calibri Light"/>
          <w:sz w:val="20"/>
          <w:szCs w:val="20"/>
        </w:rPr>
      </w:pPr>
      <w:r w:rsidRPr="00687C14">
        <w:rPr>
          <w:rFonts w:ascii="Calibri Light" w:eastAsia="Calibri" w:hAnsi="Calibri Light" w:cs="Calibri"/>
          <w:sz w:val="20"/>
          <w:szCs w:val="20"/>
          <w:lang w:val="es-US"/>
        </w:rPr>
        <w:t>Estamos juntos!</w:t>
      </w:r>
    </w:p>
    <w:p w14:paraId="65FC0038" w14:textId="4795B524" w:rsidR="7047FDED" w:rsidRPr="00687C14" w:rsidRDefault="7047FDED" w:rsidP="03239B7C">
      <w:pPr>
        <w:jc w:val="center"/>
        <w:rPr>
          <w:rFonts w:ascii="Calibri Light" w:hAnsi="Calibri Light"/>
          <w:sz w:val="20"/>
          <w:szCs w:val="20"/>
        </w:rPr>
      </w:pPr>
      <w:r w:rsidRPr="00687C14">
        <w:rPr>
          <w:rFonts w:ascii="Calibri Light" w:eastAsia="Calibri" w:hAnsi="Calibri Light" w:cs="Calibri"/>
          <w:sz w:val="20"/>
          <w:szCs w:val="20"/>
          <w:lang w:val="es-US"/>
        </w:rPr>
        <w:t xml:space="preserve"> </w:t>
      </w:r>
    </w:p>
    <w:p w14:paraId="601B0755" w14:textId="47932BFA" w:rsidR="7047FDED" w:rsidRPr="00687C14" w:rsidRDefault="7047FDED" w:rsidP="03239B7C">
      <w:pPr>
        <w:jc w:val="center"/>
        <w:rPr>
          <w:rFonts w:ascii="Calibri Light" w:hAnsi="Calibri Light"/>
          <w:sz w:val="20"/>
          <w:szCs w:val="20"/>
        </w:rPr>
      </w:pPr>
      <w:r w:rsidRPr="00687C14">
        <w:rPr>
          <w:rFonts w:ascii="Calibri Light" w:eastAsia="Calibri" w:hAnsi="Calibri Light" w:cs="Calibri"/>
          <w:sz w:val="20"/>
          <w:szCs w:val="20"/>
          <w:lang w:val="es-US"/>
        </w:rPr>
        <w:t xml:space="preserve"> </w:t>
      </w:r>
    </w:p>
    <w:p w14:paraId="0F64A728" w14:textId="048ED3C4" w:rsidR="7047FDED" w:rsidRPr="00687C14" w:rsidRDefault="7047FDED" w:rsidP="03239B7C">
      <w:pPr>
        <w:jc w:val="center"/>
        <w:rPr>
          <w:rFonts w:ascii="Calibri Light" w:hAnsi="Calibri Light"/>
          <w:sz w:val="20"/>
          <w:szCs w:val="20"/>
        </w:rPr>
      </w:pPr>
      <w:r w:rsidRPr="00687C14">
        <w:rPr>
          <w:rFonts w:ascii="Calibri Light" w:eastAsia="Calibri" w:hAnsi="Calibri Light" w:cs="Calibri"/>
          <w:sz w:val="20"/>
          <w:szCs w:val="20"/>
          <w:lang w:val="es-US"/>
        </w:rPr>
        <w:t>____________________________</w:t>
      </w:r>
    </w:p>
    <w:p w14:paraId="24364F90" w14:textId="1F01F5A8" w:rsidR="7047FDED" w:rsidRPr="00687C14" w:rsidRDefault="7047FDED" w:rsidP="03239B7C">
      <w:pPr>
        <w:jc w:val="center"/>
        <w:rPr>
          <w:rFonts w:ascii="Calibri Light" w:hAnsi="Calibri Light"/>
          <w:sz w:val="20"/>
          <w:szCs w:val="20"/>
        </w:rPr>
      </w:pPr>
      <w:r w:rsidRPr="00687C14">
        <w:rPr>
          <w:rFonts w:ascii="Calibri Light" w:eastAsia="Calibri" w:hAnsi="Calibri Light" w:cs="Calibri"/>
          <w:sz w:val="20"/>
          <w:szCs w:val="20"/>
          <w:lang w:val="es-US"/>
        </w:rPr>
        <w:t> Myrta Kaulard</w:t>
      </w:r>
    </w:p>
    <w:p w14:paraId="4F68BA2D" w14:textId="22E04D70" w:rsidR="7047FDED" w:rsidRPr="00687C14" w:rsidRDefault="7047FDED" w:rsidP="03239B7C">
      <w:pPr>
        <w:jc w:val="center"/>
        <w:rPr>
          <w:rFonts w:ascii="Calibri Light" w:hAnsi="Calibri Light"/>
          <w:sz w:val="20"/>
          <w:szCs w:val="20"/>
          <w:lang w:val="es-US"/>
        </w:rPr>
      </w:pPr>
      <w:r w:rsidRPr="00687C14">
        <w:rPr>
          <w:rFonts w:ascii="Calibri Light" w:eastAsia="Calibri" w:hAnsi="Calibri Light" w:cs="Calibri"/>
          <w:sz w:val="20"/>
          <w:szCs w:val="20"/>
          <w:lang w:val="es-US"/>
        </w:rPr>
        <w:t>UN Resident Coordinator</w:t>
      </w:r>
    </w:p>
    <w:p w14:paraId="427BC25D" w14:textId="20DC5263" w:rsidR="005414A9" w:rsidRPr="00687C14" w:rsidRDefault="005414A9" w:rsidP="009F2E10">
      <w:pPr>
        <w:jc w:val="center"/>
        <w:rPr>
          <w:rFonts w:ascii="Calibri Light" w:hAnsi="Calibri Light"/>
          <w:sz w:val="20"/>
          <w:szCs w:val="20"/>
          <w:lang w:val="es-US"/>
        </w:rPr>
      </w:pPr>
    </w:p>
    <w:p w14:paraId="3F516952" w14:textId="314241F6" w:rsidR="005414A9" w:rsidRPr="00F22F32" w:rsidRDefault="005414A9">
      <w:pPr>
        <w:rPr>
          <w:lang w:val="es-US"/>
        </w:rPr>
      </w:pPr>
    </w:p>
    <w:p w14:paraId="2A2F898D" w14:textId="631A68CE" w:rsidR="005414A9" w:rsidRPr="00F22F32" w:rsidRDefault="005414A9" w:rsidP="005414A9">
      <w:pPr>
        <w:pStyle w:val="Heading1"/>
        <w:rPr>
          <w:b/>
          <w:bCs/>
          <w:color w:val="auto"/>
          <w:w w:val="95"/>
        </w:rPr>
      </w:pPr>
      <w:bookmarkStart w:id="2" w:name="_Toc71207061"/>
      <w:r w:rsidRPr="00F22F32">
        <w:rPr>
          <w:b/>
          <w:bCs/>
          <w:color w:val="auto"/>
          <w:w w:val="95"/>
        </w:rPr>
        <w:lastRenderedPageBreak/>
        <w:t>UN Country Team</w:t>
      </w:r>
      <w:bookmarkEnd w:id="2"/>
    </w:p>
    <w:p w14:paraId="23C8A098" w14:textId="0F5E8635" w:rsidR="006D4B94" w:rsidRPr="00F22F32" w:rsidRDefault="00F03813" w:rsidP="006D4B94">
      <w:pPr>
        <w:pStyle w:val="Heading2"/>
        <w:rPr>
          <w:color w:val="auto"/>
        </w:rPr>
      </w:pPr>
      <w:bookmarkStart w:id="3" w:name="_Toc58430963"/>
      <w:bookmarkStart w:id="4" w:name="_Toc71207062"/>
      <w:r w:rsidRPr="00F22F32">
        <w:rPr>
          <w:noProof/>
          <w:color w:val="auto"/>
        </w:rPr>
        <w:drawing>
          <wp:anchor distT="0" distB="0" distL="114300" distR="114300" simplePos="0" relativeHeight="251658244" behindDoc="0" locked="0" layoutInCell="1" allowOverlap="1" wp14:anchorId="637E2F76" wp14:editId="653B9A24">
            <wp:simplePos x="0" y="0"/>
            <wp:positionH relativeFrom="column">
              <wp:posOffset>3071274</wp:posOffset>
            </wp:positionH>
            <wp:positionV relativeFrom="paragraph">
              <wp:posOffset>474593</wp:posOffset>
            </wp:positionV>
            <wp:extent cx="940435" cy="94043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0435" cy="940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2F32">
        <w:rPr>
          <w:noProof/>
          <w:color w:val="auto"/>
        </w:rPr>
        <w:drawing>
          <wp:anchor distT="0" distB="0" distL="114300" distR="114300" simplePos="0" relativeHeight="251658243" behindDoc="0" locked="0" layoutInCell="1" allowOverlap="1" wp14:anchorId="29BC2766" wp14:editId="30B6CBC4">
            <wp:simplePos x="0" y="0"/>
            <wp:positionH relativeFrom="column">
              <wp:posOffset>977651</wp:posOffset>
            </wp:positionH>
            <wp:positionV relativeFrom="paragraph">
              <wp:posOffset>427990</wp:posOffset>
            </wp:positionV>
            <wp:extent cx="1757045" cy="891540"/>
            <wp:effectExtent l="0" t="0" r="0" b="381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7045" cy="891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2F32">
        <w:rPr>
          <w:noProof/>
          <w:color w:val="auto"/>
        </w:rPr>
        <w:drawing>
          <wp:anchor distT="0" distB="0" distL="114300" distR="114300" simplePos="0" relativeHeight="251658246" behindDoc="0" locked="0" layoutInCell="1" allowOverlap="1" wp14:anchorId="5A17A82B" wp14:editId="7ACFF656">
            <wp:simplePos x="0" y="0"/>
            <wp:positionH relativeFrom="margin">
              <wp:posOffset>4661894</wp:posOffset>
            </wp:positionH>
            <wp:positionV relativeFrom="paragraph">
              <wp:posOffset>425229</wp:posOffset>
            </wp:positionV>
            <wp:extent cx="890905" cy="940435"/>
            <wp:effectExtent l="0" t="0" r="4445"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8557" r="18261"/>
                    <a:stretch/>
                  </pic:blipFill>
                  <pic:spPr bwMode="auto">
                    <a:xfrm>
                      <a:off x="0" y="0"/>
                      <a:ext cx="890905" cy="940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5C8D" w:rsidRPr="00F22F32">
        <w:rPr>
          <w:noProof/>
          <w:color w:val="auto"/>
        </w:rPr>
        <w:drawing>
          <wp:anchor distT="0" distB="0" distL="114300" distR="114300" simplePos="0" relativeHeight="251658261" behindDoc="0" locked="0" layoutInCell="1" allowOverlap="1" wp14:anchorId="02AFEC8F" wp14:editId="1A43CA11">
            <wp:simplePos x="0" y="0"/>
            <wp:positionH relativeFrom="margin">
              <wp:posOffset>2114550</wp:posOffset>
            </wp:positionH>
            <wp:positionV relativeFrom="page">
              <wp:posOffset>5807710</wp:posOffset>
            </wp:positionV>
            <wp:extent cx="2191385" cy="940435"/>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1385" cy="940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5C8D" w:rsidRPr="00F22F32">
        <w:rPr>
          <w:noProof/>
          <w:color w:val="auto"/>
        </w:rPr>
        <w:drawing>
          <wp:anchor distT="0" distB="0" distL="114300" distR="114300" simplePos="0" relativeHeight="251658259" behindDoc="0" locked="0" layoutInCell="1" allowOverlap="1" wp14:anchorId="3ABF4CC1" wp14:editId="1020426F">
            <wp:simplePos x="0" y="0"/>
            <wp:positionH relativeFrom="margin">
              <wp:posOffset>3540760</wp:posOffset>
            </wp:positionH>
            <wp:positionV relativeFrom="paragraph">
              <wp:posOffset>2571750</wp:posOffset>
            </wp:positionV>
            <wp:extent cx="864870" cy="940435"/>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4870" cy="940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5C8D" w:rsidRPr="00F22F32">
        <w:rPr>
          <w:noProof/>
          <w:color w:val="auto"/>
        </w:rPr>
        <w:drawing>
          <wp:anchor distT="0" distB="0" distL="114300" distR="114300" simplePos="0" relativeHeight="251658252" behindDoc="0" locked="0" layoutInCell="1" allowOverlap="1" wp14:anchorId="3A6690C6" wp14:editId="4408F414">
            <wp:simplePos x="0" y="0"/>
            <wp:positionH relativeFrom="margin">
              <wp:posOffset>4309110</wp:posOffset>
            </wp:positionH>
            <wp:positionV relativeFrom="paragraph">
              <wp:posOffset>2534920</wp:posOffset>
            </wp:positionV>
            <wp:extent cx="1111885" cy="1111885"/>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1885" cy="1111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5C8D" w:rsidRPr="00F22F32">
        <w:rPr>
          <w:noProof/>
          <w:color w:val="auto"/>
        </w:rPr>
        <w:drawing>
          <wp:anchor distT="0" distB="0" distL="114300" distR="114300" simplePos="0" relativeHeight="251658253" behindDoc="0" locked="0" layoutInCell="1" allowOverlap="1" wp14:anchorId="494379FE" wp14:editId="1EBC9766">
            <wp:simplePos x="0" y="0"/>
            <wp:positionH relativeFrom="margin">
              <wp:posOffset>5179695</wp:posOffset>
            </wp:positionH>
            <wp:positionV relativeFrom="paragraph">
              <wp:posOffset>2593340</wp:posOffset>
            </wp:positionV>
            <wp:extent cx="1410970" cy="940435"/>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10970" cy="940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5C8D" w:rsidRPr="00F22F32">
        <w:rPr>
          <w:noProof/>
          <w:color w:val="auto"/>
        </w:rPr>
        <w:drawing>
          <wp:anchor distT="0" distB="0" distL="114300" distR="114300" simplePos="0" relativeHeight="251658245" behindDoc="0" locked="0" layoutInCell="1" allowOverlap="1" wp14:anchorId="379E51CE" wp14:editId="514B5594">
            <wp:simplePos x="0" y="0"/>
            <wp:positionH relativeFrom="margin">
              <wp:posOffset>1734185</wp:posOffset>
            </wp:positionH>
            <wp:positionV relativeFrom="paragraph">
              <wp:posOffset>2754630</wp:posOffset>
            </wp:positionV>
            <wp:extent cx="1593850" cy="683895"/>
            <wp:effectExtent l="0" t="0" r="6350" b="190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9385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5C8D" w:rsidRPr="00F22F32">
        <w:rPr>
          <w:noProof/>
          <w:color w:val="auto"/>
        </w:rPr>
        <w:drawing>
          <wp:anchor distT="0" distB="0" distL="114300" distR="114300" simplePos="0" relativeHeight="251658250" behindDoc="0" locked="0" layoutInCell="1" allowOverlap="1" wp14:anchorId="703D1481" wp14:editId="05E604C6">
            <wp:simplePos x="0" y="0"/>
            <wp:positionH relativeFrom="margin">
              <wp:posOffset>4901565</wp:posOffset>
            </wp:positionH>
            <wp:positionV relativeFrom="paragraph">
              <wp:posOffset>1627505</wp:posOffset>
            </wp:positionV>
            <wp:extent cx="1670685" cy="769620"/>
            <wp:effectExtent l="0" t="0" r="571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70685" cy="769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5C8D" w:rsidRPr="00F22F32">
        <w:rPr>
          <w:noProof/>
          <w:color w:val="auto"/>
        </w:rPr>
        <w:drawing>
          <wp:anchor distT="0" distB="0" distL="114300" distR="114300" simplePos="0" relativeHeight="251658249" behindDoc="0" locked="0" layoutInCell="1" allowOverlap="1" wp14:anchorId="647B8610" wp14:editId="7E00F5E3">
            <wp:simplePos x="0" y="0"/>
            <wp:positionH relativeFrom="column">
              <wp:posOffset>2773045</wp:posOffset>
            </wp:positionH>
            <wp:positionV relativeFrom="paragraph">
              <wp:posOffset>1730375</wp:posOffset>
            </wp:positionV>
            <wp:extent cx="1925320" cy="76962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25320" cy="769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5C8D" w:rsidRPr="00F22F32">
        <w:rPr>
          <w:noProof/>
          <w:color w:val="auto"/>
        </w:rPr>
        <w:drawing>
          <wp:anchor distT="0" distB="0" distL="114300" distR="114300" simplePos="0" relativeHeight="251658247" behindDoc="0" locked="0" layoutInCell="1" allowOverlap="1" wp14:anchorId="445B6CAF" wp14:editId="7DFD6B0E">
            <wp:simplePos x="0" y="0"/>
            <wp:positionH relativeFrom="margin">
              <wp:posOffset>651510</wp:posOffset>
            </wp:positionH>
            <wp:positionV relativeFrom="paragraph">
              <wp:posOffset>1627505</wp:posOffset>
            </wp:positionV>
            <wp:extent cx="1919605" cy="854710"/>
            <wp:effectExtent l="0" t="0" r="4445" b="254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a:extLst>
                        <a:ext uri="{28A0092B-C50C-407E-A947-70E740481C1C}">
                          <a14:useLocalDpi xmlns:a14="http://schemas.microsoft.com/office/drawing/2010/main" val="0"/>
                        </a:ext>
                      </a:extLst>
                    </a:blip>
                    <a:srcRect t="26359" b="28995"/>
                    <a:stretch/>
                  </pic:blipFill>
                  <pic:spPr bwMode="auto">
                    <a:xfrm>
                      <a:off x="0" y="0"/>
                      <a:ext cx="1919605" cy="854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5C8D" w:rsidRPr="00F22F32">
        <w:rPr>
          <w:noProof/>
          <w:color w:val="auto"/>
        </w:rPr>
        <w:drawing>
          <wp:anchor distT="0" distB="0" distL="114300" distR="114300" simplePos="0" relativeHeight="251658248" behindDoc="0" locked="0" layoutInCell="1" allowOverlap="1" wp14:anchorId="045C5EE8" wp14:editId="7519E89B">
            <wp:simplePos x="0" y="0"/>
            <wp:positionH relativeFrom="margin">
              <wp:posOffset>-167640</wp:posOffset>
            </wp:positionH>
            <wp:positionV relativeFrom="paragraph">
              <wp:posOffset>1578610</wp:posOffset>
            </wp:positionV>
            <wp:extent cx="650875" cy="854710"/>
            <wp:effectExtent l="0" t="0" r="0" b="254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6718"/>
                    <a:stretch/>
                  </pic:blipFill>
                  <pic:spPr bwMode="auto">
                    <a:xfrm>
                      <a:off x="0" y="0"/>
                      <a:ext cx="650875" cy="854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5C8D" w:rsidRPr="00F22F32">
        <w:rPr>
          <w:noProof/>
          <w:color w:val="auto"/>
        </w:rPr>
        <w:drawing>
          <wp:anchor distT="0" distB="0" distL="114300" distR="114300" simplePos="0" relativeHeight="251658242" behindDoc="0" locked="0" layoutInCell="1" allowOverlap="1" wp14:anchorId="47A4BCA4" wp14:editId="3657E336">
            <wp:simplePos x="0" y="0"/>
            <wp:positionH relativeFrom="margin">
              <wp:posOffset>-167640</wp:posOffset>
            </wp:positionH>
            <wp:positionV relativeFrom="paragraph">
              <wp:posOffset>407035</wp:posOffset>
            </wp:positionV>
            <wp:extent cx="940435" cy="94043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40435" cy="940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4B94" w:rsidRPr="00F22F32">
        <w:rPr>
          <w:color w:val="auto"/>
        </w:rPr>
        <w:t>Resident</w:t>
      </w:r>
      <w:bookmarkEnd w:id="3"/>
      <w:r w:rsidR="006D4B94" w:rsidRPr="00F22F32">
        <w:rPr>
          <w:color w:val="auto"/>
        </w:rPr>
        <w:t xml:space="preserve"> </w:t>
      </w:r>
      <w:r w:rsidR="000133EC" w:rsidRPr="00F22F32">
        <w:rPr>
          <w:color w:val="auto"/>
        </w:rPr>
        <w:t>Agencies</w:t>
      </w:r>
      <w:bookmarkEnd w:id="4"/>
    </w:p>
    <w:p w14:paraId="62C5AE79" w14:textId="4FCC5693" w:rsidR="006D4B94" w:rsidRPr="00F22F32" w:rsidRDefault="00F03813" w:rsidP="006D4B94">
      <w:r w:rsidRPr="00F22F32">
        <w:rPr>
          <w:noProof/>
        </w:rPr>
        <w:drawing>
          <wp:anchor distT="0" distB="0" distL="114300" distR="114300" simplePos="0" relativeHeight="251658251" behindDoc="0" locked="0" layoutInCell="1" allowOverlap="1" wp14:anchorId="28C08B87" wp14:editId="4007D7AB">
            <wp:simplePos x="0" y="0"/>
            <wp:positionH relativeFrom="margin">
              <wp:posOffset>-317582</wp:posOffset>
            </wp:positionH>
            <wp:positionV relativeFrom="paragraph">
              <wp:posOffset>2428847</wp:posOffset>
            </wp:positionV>
            <wp:extent cx="1903730" cy="854710"/>
            <wp:effectExtent l="0" t="0" r="1270" b="254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0115" t="28354" r="19307" b="29363"/>
                    <a:stretch/>
                  </pic:blipFill>
                  <pic:spPr bwMode="auto">
                    <a:xfrm>
                      <a:off x="0" y="0"/>
                      <a:ext cx="1903730" cy="854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22F32">
        <w:rPr>
          <w:noProof/>
        </w:rPr>
        <w:drawing>
          <wp:anchor distT="0" distB="0" distL="114300" distR="114300" simplePos="0" relativeHeight="251658255" behindDoc="0" locked="0" layoutInCell="1" allowOverlap="1" wp14:anchorId="0A2AF4B5" wp14:editId="07E99F87">
            <wp:simplePos x="0" y="0"/>
            <wp:positionH relativeFrom="margin">
              <wp:posOffset>4412615</wp:posOffset>
            </wp:positionH>
            <wp:positionV relativeFrom="paragraph">
              <wp:posOffset>3448685</wp:posOffset>
            </wp:positionV>
            <wp:extent cx="1718945" cy="810895"/>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8092" b="24635"/>
                    <a:stretch/>
                  </pic:blipFill>
                  <pic:spPr bwMode="auto">
                    <a:xfrm>
                      <a:off x="0" y="0"/>
                      <a:ext cx="1718945" cy="810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22F32">
        <w:rPr>
          <w:noProof/>
        </w:rPr>
        <w:drawing>
          <wp:anchor distT="0" distB="0" distL="114300" distR="114300" simplePos="0" relativeHeight="251658254" behindDoc="0" locked="0" layoutInCell="1" allowOverlap="1" wp14:anchorId="203B5E6B" wp14:editId="2899C0CE">
            <wp:simplePos x="0" y="0"/>
            <wp:positionH relativeFrom="margin">
              <wp:posOffset>1995170</wp:posOffset>
            </wp:positionH>
            <wp:positionV relativeFrom="paragraph">
              <wp:posOffset>3560610</wp:posOffset>
            </wp:positionV>
            <wp:extent cx="2369185" cy="568325"/>
            <wp:effectExtent l="0" t="0" r="0" b="317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69185" cy="56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2F32">
        <w:rPr>
          <w:noProof/>
        </w:rPr>
        <w:drawing>
          <wp:anchor distT="0" distB="0" distL="114300" distR="114300" simplePos="0" relativeHeight="251658257" behindDoc="0" locked="0" layoutInCell="1" allowOverlap="1" wp14:anchorId="7EF670AC" wp14:editId="2D86729B">
            <wp:simplePos x="0" y="0"/>
            <wp:positionH relativeFrom="margin">
              <wp:posOffset>897890</wp:posOffset>
            </wp:positionH>
            <wp:positionV relativeFrom="page">
              <wp:posOffset>4840605</wp:posOffset>
            </wp:positionV>
            <wp:extent cx="937895" cy="937895"/>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37895" cy="937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2F32">
        <w:rPr>
          <w:noProof/>
        </w:rPr>
        <w:drawing>
          <wp:anchor distT="0" distB="0" distL="114300" distR="114300" simplePos="0" relativeHeight="251658256" behindDoc="0" locked="0" layoutInCell="1" allowOverlap="1" wp14:anchorId="67792A95" wp14:editId="19E780FF">
            <wp:simplePos x="0" y="0"/>
            <wp:positionH relativeFrom="margin">
              <wp:posOffset>-111760</wp:posOffset>
            </wp:positionH>
            <wp:positionV relativeFrom="page">
              <wp:posOffset>4881880</wp:posOffset>
            </wp:positionV>
            <wp:extent cx="747395" cy="745490"/>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47395" cy="745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312A" w:rsidRPr="00F22F32">
        <w:rPr>
          <w:noProof/>
        </w:rPr>
        <w:drawing>
          <wp:anchor distT="0" distB="0" distL="114300" distR="114300" simplePos="0" relativeHeight="251658258" behindDoc="0" locked="0" layoutInCell="1" allowOverlap="1" wp14:anchorId="7A03516E" wp14:editId="614C848F">
            <wp:simplePos x="0" y="0"/>
            <wp:positionH relativeFrom="margin">
              <wp:posOffset>4058643</wp:posOffset>
            </wp:positionH>
            <wp:positionV relativeFrom="margin">
              <wp:posOffset>5017522</wp:posOffset>
            </wp:positionV>
            <wp:extent cx="2162175" cy="940435"/>
            <wp:effectExtent l="0" t="0" r="952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8052"/>
                    <a:stretch/>
                  </pic:blipFill>
                  <pic:spPr bwMode="auto">
                    <a:xfrm>
                      <a:off x="0" y="0"/>
                      <a:ext cx="2162175" cy="940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312A" w:rsidRPr="00F22F32">
        <w:rPr>
          <w:noProof/>
        </w:rPr>
        <w:drawing>
          <wp:anchor distT="0" distB="0" distL="114300" distR="114300" simplePos="0" relativeHeight="251658260" behindDoc="0" locked="0" layoutInCell="1" allowOverlap="1" wp14:anchorId="1915ECA7" wp14:editId="4F865E8E">
            <wp:simplePos x="0" y="0"/>
            <wp:positionH relativeFrom="margin">
              <wp:posOffset>-179650</wp:posOffset>
            </wp:positionH>
            <wp:positionV relativeFrom="page">
              <wp:posOffset>5673504</wp:posOffset>
            </wp:positionV>
            <wp:extent cx="2116455" cy="1111885"/>
            <wp:effectExtent l="0" t="0" r="0" b="0"/>
            <wp:wrapTopAndBottom/>
            <wp:docPr id="22" name="Picture 22" descr="Call for Volunteer - National United Nations Volunteers (UNV) Programme  Assistant, Yerevan, Armenia - ARMAC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all for Volunteer - National United Nations Volunteers (UNV) Programme  Assistant, Yerevan, Armenia - ARMACA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16455" cy="11118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8276DA" w14:textId="6596714A" w:rsidR="00040B7A" w:rsidRPr="00F22F32" w:rsidRDefault="006D4B94" w:rsidP="00542B36">
      <w:pPr>
        <w:pStyle w:val="Heading2"/>
        <w:rPr>
          <w:color w:val="auto"/>
        </w:rPr>
      </w:pPr>
      <w:bookmarkStart w:id="5" w:name="_Toc58430964"/>
      <w:bookmarkStart w:id="6" w:name="_Toc71207063"/>
      <w:r w:rsidRPr="00F22F32">
        <w:rPr>
          <w:color w:val="auto"/>
        </w:rPr>
        <w:t>Non-resident</w:t>
      </w:r>
      <w:bookmarkEnd w:id="5"/>
      <w:r w:rsidR="000133EC" w:rsidRPr="00F22F32">
        <w:rPr>
          <w:color w:val="auto"/>
        </w:rPr>
        <w:t xml:space="preserve"> Agencies</w:t>
      </w:r>
      <w:bookmarkEnd w:id="6"/>
    </w:p>
    <w:p w14:paraId="3E4E4B19" w14:textId="17E19138" w:rsidR="00F06DB7" w:rsidRPr="00F22F32" w:rsidRDefault="00FF0D92" w:rsidP="00BB2920">
      <w:r w:rsidRPr="00F22F32">
        <w:rPr>
          <w:noProof/>
        </w:rPr>
        <w:drawing>
          <wp:anchor distT="0" distB="0" distL="114300" distR="114300" simplePos="0" relativeHeight="251658266" behindDoc="0" locked="0" layoutInCell="1" allowOverlap="1" wp14:anchorId="75199908" wp14:editId="2BAC9279">
            <wp:simplePos x="0" y="0"/>
            <wp:positionH relativeFrom="column">
              <wp:posOffset>3223702</wp:posOffset>
            </wp:positionH>
            <wp:positionV relativeFrom="paragraph">
              <wp:posOffset>453694</wp:posOffset>
            </wp:positionV>
            <wp:extent cx="1641730" cy="855315"/>
            <wp:effectExtent l="0" t="0" r="0" b="2540"/>
            <wp:wrapTopAndBottom/>
            <wp:docPr id="25" name="Picture 25" descr="UNEP Logo Download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UNEP Logo Download Vecto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41730" cy="855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2F32">
        <w:rPr>
          <w:noProof/>
        </w:rPr>
        <w:drawing>
          <wp:anchor distT="0" distB="0" distL="114300" distR="114300" simplePos="0" relativeHeight="251658267" behindDoc="1" locked="0" layoutInCell="1" allowOverlap="1" wp14:anchorId="64237B40" wp14:editId="699C3C4F">
            <wp:simplePos x="0" y="0"/>
            <wp:positionH relativeFrom="margin">
              <wp:align>left</wp:align>
            </wp:positionH>
            <wp:positionV relativeFrom="paragraph">
              <wp:posOffset>530087</wp:posOffset>
            </wp:positionV>
            <wp:extent cx="3039745" cy="556260"/>
            <wp:effectExtent l="0" t="0" r="0" b="0"/>
            <wp:wrapTight wrapText="bothSides">
              <wp:wrapPolygon edited="0">
                <wp:start x="677" y="0"/>
                <wp:lineTo x="0" y="3699"/>
                <wp:lineTo x="0" y="13315"/>
                <wp:lineTo x="812" y="20712"/>
                <wp:lineTo x="3790" y="20712"/>
                <wp:lineTo x="21388" y="19233"/>
                <wp:lineTo x="21388" y="1479"/>
                <wp:lineTo x="3926" y="0"/>
                <wp:lineTo x="677"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62133" cy="5606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0B7A" w:rsidRPr="00F22F32">
        <w:t xml:space="preserve"> </w:t>
      </w:r>
      <w:r w:rsidR="006D4B94" w:rsidRPr="00F22F32">
        <w:br w:type="page"/>
      </w:r>
    </w:p>
    <w:p w14:paraId="65F53A14" w14:textId="4C467B71" w:rsidR="00F06DB7" w:rsidRPr="00F22F32" w:rsidRDefault="000C48AD" w:rsidP="00F06DB7">
      <w:pPr>
        <w:pStyle w:val="Heading1"/>
        <w:rPr>
          <w:b/>
          <w:bCs/>
          <w:color w:val="auto"/>
          <w:w w:val="95"/>
        </w:rPr>
      </w:pPr>
      <w:bookmarkStart w:id="7" w:name="_Toc71207064"/>
      <w:r w:rsidRPr="00F22F32">
        <w:rPr>
          <w:b/>
          <w:bCs/>
          <w:color w:val="auto"/>
          <w:w w:val="95"/>
        </w:rPr>
        <w:lastRenderedPageBreak/>
        <w:t xml:space="preserve">Key </w:t>
      </w:r>
      <w:r w:rsidR="00F06DB7" w:rsidRPr="00F22F32">
        <w:rPr>
          <w:b/>
          <w:bCs/>
          <w:color w:val="auto"/>
          <w:w w:val="95"/>
        </w:rPr>
        <w:t>D</w:t>
      </w:r>
      <w:r w:rsidRPr="00F22F32">
        <w:rPr>
          <w:b/>
          <w:bCs/>
          <w:color w:val="auto"/>
          <w:w w:val="95"/>
        </w:rPr>
        <w:t>evelopment Partners of the UN development system in the country</w:t>
      </w:r>
      <w:bookmarkEnd w:id="7"/>
      <w:r w:rsidR="00537890" w:rsidRPr="00F22F32">
        <w:rPr>
          <w:b/>
          <w:bCs/>
          <w:color w:val="auto"/>
          <w:w w:val="95"/>
        </w:rPr>
        <w:t xml:space="preserve"> </w:t>
      </w:r>
    </w:p>
    <w:p w14:paraId="2D1DB68D" w14:textId="268C3287" w:rsidR="00F06DB7" w:rsidRPr="00F22F32" w:rsidRDefault="00F03813" w:rsidP="00F06DB7">
      <w:r w:rsidRPr="00F22F32">
        <w:rPr>
          <w:noProof/>
        </w:rPr>
        <w:drawing>
          <wp:anchor distT="0" distB="0" distL="114300" distR="114300" simplePos="0" relativeHeight="251658263" behindDoc="1" locked="0" layoutInCell="1" allowOverlap="1" wp14:anchorId="7009E7C9" wp14:editId="4D133864">
            <wp:simplePos x="0" y="0"/>
            <wp:positionH relativeFrom="page">
              <wp:posOffset>3901772</wp:posOffset>
            </wp:positionH>
            <wp:positionV relativeFrom="paragraph">
              <wp:posOffset>291244</wp:posOffset>
            </wp:positionV>
            <wp:extent cx="3689350" cy="2278252"/>
            <wp:effectExtent l="0" t="0" r="6350" b="8255"/>
            <wp:wrapTight wrapText="bothSides">
              <wp:wrapPolygon edited="0">
                <wp:start x="0" y="0"/>
                <wp:lineTo x="0" y="21498"/>
                <wp:lineTo x="21526" y="21498"/>
                <wp:lineTo x="21526"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3689350" cy="22782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31E4EA" w14:textId="761C6827" w:rsidR="00F03813" w:rsidRPr="00F22F32" w:rsidRDefault="007A715B" w:rsidP="00F03813">
      <w:r w:rsidRPr="00F22F32">
        <w:rPr>
          <w:noProof/>
        </w:rPr>
        <w:drawing>
          <wp:anchor distT="0" distB="0" distL="114300" distR="114300" simplePos="0" relativeHeight="251658262" behindDoc="1" locked="0" layoutInCell="1" allowOverlap="1" wp14:anchorId="6A523D63" wp14:editId="74F7049A">
            <wp:simplePos x="0" y="0"/>
            <wp:positionH relativeFrom="column">
              <wp:posOffset>-564515</wp:posOffset>
            </wp:positionH>
            <wp:positionV relativeFrom="paragraph">
              <wp:posOffset>224384</wp:posOffset>
            </wp:positionV>
            <wp:extent cx="3689350" cy="2179955"/>
            <wp:effectExtent l="0" t="0" r="6350" b="0"/>
            <wp:wrapTight wrapText="bothSides">
              <wp:wrapPolygon edited="0">
                <wp:start x="0" y="0"/>
                <wp:lineTo x="0" y="21329"/>
                <wp:lineTo x="21526" y="21329"/>
                <wp:lineTo x="21526"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3689350" cy="2179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279E1B" w14:textId="22D46E3B" w:rsidR="00F03813" w:rsidRPr="00F22F32" w:rsidRDefault="00F03813" w:rsidP="00F03813">
      <w:r w:rsidRPr="00F22F32">
        <w:rPr>
          <w:noProof/>
        </w:rPr>
        <w:drawing>
          <wp:anchor distT="0" distB="0" distL="114300" distR="114300" simplePos="0" relativeHeight="251658264" behindDoc="1" locked="0" layoutInCell="1" allowOverlap="1" wp14:anchorId="470E0EA4" wp14:editId="2E49199D">
            <wp:simplePos x="0" y="0"/>
            <wp:positionH relativeFrom="column">
              <wp:posOffset>-565150</wp:posOffset>
            </wp:positionH>
            <wp:positionV relativeFrom="paragraph">
              <wp:posOffset>2520315</wp:posOffset>
            </wp:positionV>
            <wp:extent cx="3744595" cy="2112645"/>
            <wp:effectExtent l="0" t="0" r="8255" b="1905"/>
            <wp:wrapTight wrapText="bothSides">
              <wp:wrapPolygon edited="0">
                <wp:start x="0" y="0"/>
                <wp:lineTo x="0" y="21425"/>
                <wp:lineTo x="21538" y="21425"/>
                <wp:lineTo x="2153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3744595" cy="2112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2F32">
        <w:rPr>
          <w:noProof/>
        </w:rPr>
        <w:drawing>
          <wp:anchor distT="0" distB="0" distL="114300" distR="114300" simplePos="0" relativeHeight="251658265" behindDoc="1" locked="0" layoutInCell="1" allowOverlap="1" wp14:anchorId="015496E7" wp14:editId="106B1F58">
            <wp:simplePos x="0" y="0"/>
            <wp:positionH relativeFrom="column">
              <wp:posOffset>3037205</wp:posOffset>
            </wp:positionH>
            <wp:positionV relativeFrom="paragraph">
              <wp:posOffset>2504440</wp:posOffset>
            </wp:positionV>
            <wp:extent cx="3577590" cy="2145665"/>
            <wp:effectExtent l="0" t="0" r="3810" b="6985"/>
            <wp:wrapTight wrapText="bothSides">
              <wp:wrapPolygon edited="0">
                <wp:start x="0" y="0"/>
                <wp:lineTo x="0" y="21479"/>
                <wp:lineTo x="21508" y="21479"/>
                <wp:lineTo x="2150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3577590" cy="2145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E93505" w14:textId="1148E3AB" w:rsidR="00F03813" w:rsidRPr="00F22F32" w:rsidRDefault="00F03813" w:rsidP="00F03813"/>
    <w:p w14:paraId="337FECE6" w14:textId="51CC3E12" w:rsidR="0054071A" w:rsidRPr="00F22F32" w:rsidRDefault="0054071A" w:rsidP="00F2779B">
      <w:pPr>
        <w:jc w:val="both"/>
        <w:rPr>
          <w:rFonts w:asciiTheme="majorHAnsi" w:eastAsia="SimSun" w:hAnsiTheme="majorHAnsi" w:cstheme="majorHAnsi"/>
          <w:b/>
          <w:bCs/>
          <w:lang w:eastAsia="zh-CN" w:bidi="hi-IN"/>
        </w:rPr>
      </w:pPr>
      <w:r w:rsidRPr="00F22F32">
        <w:rPr>
          <w:rFonts w:asciiTheme="majorHAnsi" w:eastAsia="SimSun" w:hAnsiTheme="majorHAnsi" w:cstheme="majorHAnsi"/>
          <w:b/>
          <w:bCs/>
          <w:lang w:eastAsia="zh-CN" w:bidi="hi-IN"/>
        </w:rPr>
        <w:t>Use of the Mozambique One Fund</w:t>
      </w:r>
    </w:p>
    <w:p w14:paraId="23761A79" w14:textId="77777777" w:rsidR="0054071A" w:rsidRPr="00F22F32" w:rsidRDefault="0054071A" w:rsidP="00F2779B">
      <w:pPr>
        <w:jc w:val="both"/>
        <w:rPr>
          <w:rFonts w:asciiTheme="majorHAnsi" w:eastAsia="SimSun" w:hAnsiTheme="majorHAnsi" w:cstheme="majorHAnsi"/>
          <w:lang w:eastAsia="zh-CN" w:bidi="hi-IN"/>
        </w:rPr>
      </w:pPr>
    </w:p>
    <w:p w14:paraId="1FDE069F" w14:textId="752DD698" w:rsidR="007B16BF" w:rsidRPr="00F22F32" w:rsidRDefault="00F2779B" w:rsidP="00F2779B">
      <w:pPr>
        <w:jc w:val="both"/>
        <w:rPr>
          <w:rFonts w:asciiTheme="majorHAnsi" w:eastAsia="SimSun" w:hAnsiTheme="majorHAnsi" w:cstheme="majorHAnsi"/>
          <w:bCs/>
          <w:i/>
          <w:iCs/>
          <w:lang w:eastAsia="zh-CN" w:bidi="hi-IN"/>
        </w:rPr>
      </w:pPr>
      <w:r w:rsidRPr="00F22F32">
        <w:rPr>
          <w:rFonts w:asciiTheme="majorHAnsi" w:eastAsia="SimSun" w:hAnsiTheme="majorHAnsi" w:cstheme="majorHAnsi"/>
          <w:lang w:eastAsia="zh-CN" w:bidi="hi-IN"/>
        </w:rPr>
        <w:t>In 2020 the UN System has benefited from the support of the Mozambique One Fund for with a total amount of USD 51,359 to support the Common Country Analysis, as the first step for the formulation of the new United Nations Sustainable Cooperation Framework (UNSDCF -2022-2026).</w:t>
      </w:r>
      <w:r w:rsidR="00822BB4">
        <w:rPr>
          <w:rFonts w:asciiTheme="majorHAnsi" w:eastAsia="SimSun" w:hAnsiTheme="majorHAnsi" w:cstheme="majorHAnsi"/>
          <w:lang w:eastAsia="zh-CN" w:bidi="hi-IN"/>
        </w:rPr>
        <w:t xml:space="preserve">  In addition, expenditures of the fund supported Outcomes</w:t>
      </w:r>
      <w:r w:rsidR="00BF158B">
        <w:rPr>
          <w:rFonts w:asciiTheme="majorHAnsi" w:eastAsia="SimSun" w:hAnsiTheme="majorHAnsi" w:cstheme="majorHAnsi"/>
          <w:lang w:eastAsia="zh-CN" w:bidi="hi-IN"/>
        </w:rPr>
        <w:t xml:space="preserve"> 2,4,5, the cross-cutting project, HIV response to Cyclone Kenneth, and direct costs for the Mozambique One Fund.</w:t>
      </w:r>
    </w:p>
    <w:p w14:paraId="799E3ABC" w14:textId="5EE78F0D" w:rsidR="00F06DB7" w:rsidRPr="00F22F32" w:rsidRDefault="00F06DB7">
      <w:pPr>
        <w:widowControl/>
        <w:autoSpaceDE/>
        <w:autoSpaceDN/>
        <w:spacing w:after="160" w:line="259" w:lineRule="auto"/>
        <w:rPr>
          <w:rFonts w:asciiTheme="majorHAnsi" w:eastAsiaTheme="majorEastAsia" w:hAnsiTheme="majorHAnsi" w:cstheme="majorBidi"/>
          <w:b/>
          <w:bCs/>
          <w:w w:val="95"/>
          <w:sz w:val="28"/>
          <w:szCs w:val="28"/>
        </w:rPr>
      </w:pPr>
    </w:p>
    <w:p w14:paraId="4FCFF392" w14:textId="77777777" w:rsidR="00F03813" w:rsidRPr="00F22F32" w:rsidRDefault="00F03813">
      <w:pPr>
        <w:widowControl/>
        <w:autoSpaceDE/>
        <w:autoSpaceDN/>
        <w:spacing w:after="160" w:line="259" w:lineRule="auto"/>
        <w:rPr>
          <w:rFonts w:asciiTheme="majorHAnsi" w:eastAsiaTheme="majorEastAsia" w:hAnsiTheme="majorHAnsi" w:cstheme="majorHAnsi"/>
          <w:b/>
          <w:bCs/>
          <w:w w:val="95"/>
          <w:sz w:val="32"/>
          <w:szCs w:val="32"/>
        </w:rPr>
      </w:pPr>
      <w:r w:rsidRPr="00F22F32">
        <w:rPr>
          <w:rFonts w:cstheme="majorHAnsi"/>
          <w:b/>
          <w:bCs/>
          <w:w w:val="95"/>
        </w:rPr>
        <w:br w:type="page"/>
      </w:r>
    </w:p>
    <w:p w14:paraId="45E4DC4B" w14:textId="7467DE81" w:rsidR="00E17EAB" w:rsidRPr="00F22F32" w:rsidRDefault="00E17EAB" w:rsidP="00CA7235">
      <w:pPr>
        <w:pStyle w:val="Heading1"/>
        <w:numPr>
          <w:ilvl w:val="0"/>
          <w:numId w:val="1"/>
        </w:numPr>
        <w:rPr>
          <w:rFonts w:cstheme="majorHAnsi"/>
          <w:b/>
          <w:bCs/>
          <w:color w:val="auto"/>
          <w:w w:val="95"/>
        </w:rPr>
      </w:pPr>
      <w:bookmarkStart w:id="8" w:name="_Toc71207065"/>
      <w:r w:rsidRPr="00F22F32">
        <w:rPr>
          <w:rFonts w:cstheme="majorHAnsi"/>
          <w:b/>
          <w:bCs/>
          <w:color w:val="auto"/>
          <w:w w:val="95"/>
        </w:rPr>
        <w:lastRenderedPageBreak/>
        <w:t>CHAPTER 1</w:t>
      </w:r>
      <w:bookmarkEnd w:id="8"/>
    </w:p>
    <w:p w14:paraId="2CBF4BAF" w14:textId="77777777" w:rsidR="005B27FF" w:rsidRDefault="005B27FF" w:rsidP="00CA7235">
      <w:pPr>
        <w:pStyle w:val="Heading2"/>
        <w:numPr>
          <w:ilvl w:val="1"/>
          <w:numId w:val="2"/>
        </w:numPr>
        <w:rPr>
          <w:rFonts w:asciiTheme="majorHAnsi" w:hAnsiTheme="majorHAnsi" w:cstheme="majorHAnsi"/>
          <w:color w:val="auto"/>
          <w:spacing w:val="-5"/>
          <w:sz w:val="32"/>
          <w:szCs w:val="32"/>
        </w:rPr>
        <w:sectPr w:rsidR="005B27FF" w:rsidSect="005B27FF">
          <w:type w:val="continuous"/>
          <w:pgSz w:w="12240" w:h="15840"/>
          <w:pgMar w:top="1440" w:right="1440" w:bottom="1440" w:left="1440" w:header="720" w:footer="720" w:gutter="0"/>
          <w:pgNumType w:start="0"/>
          <w:cols w:space="720"/>
          <w:titlePg/>
          <w:docGrid w:linePitch="360"/>
        </w:sectPr>
      </w:pPr>
      <w:bookmarkStart w:id="9" w:name="_Toc71207066"/>
    </w:p>
    <w:p w14:paraId="5E5A4D0A" w14:textId="459CD5B5" w:rsidR="00CA7235" w:rsidRPr="00F22F32" w:rsidRDefault="0010512A" w:rsidP="005B27FF">
      <w:pPr>
        <w:pStyle w:val="Heading2"/>
        <w:numPr>
          <w:ilvl w:val="1"/>
          <w:numId w:val="2"/>
        </w:numPr>
        <w:spacing w:line="240" w:lineRule="auto"/>
        <w:rPr>
          <w:rFonts w:asciiTheme="majorHAnsi" w:hAnsiTheme="majorHAnsi" w:cstheme="majorHAnsi"/>
          <w:color w:val="auto"/>
        </w:rPr>
      </w:pPr>
      <w:r w:rsidRPr="00F22F32">
        <w:rPr>
          <w:rFonts w:asciiTheme="majorHAnsi" w:hAnsiTheme="majorHAnsi" w:cstheme="majorHAnsi"/>
          <w:color w:val="auto"/>
          <w:spacing w:val="-5"/>
          <w:sz w:val="32"/>
          <w:szCs w:val="32"/>
        </w:rPr>
        <w:t>Key developments in the country and regional context</w:t>
      </w:r>
      <w:bookmarkEnd w:id="9"/>
      <w:r w:rsidR="00537890" w:rsidRPr="00F22F32">
        <w:rPr>
          <w:rFonts w:asciiTheme="majorHAnsi" w:hAnsiTheme="majorHAnsi" w:cstheme="majorHAnsi"/>
          <w:color w:val="auto"/>
          <w:spacing w:val="-5"/>
          <w:sz w:val="32"/>
          <w:szCs w:val="32"/>
        </w:rPr>
        <w:t xml:space="preserve"> </w:t>
      </w:r>
    </w:p>
    <w:p w14:paraId="69684949" w14:textId="77777777" w:rsidR="00D523A4" w:rsidRPr="00F22F32" w:rsidRDefault="00D523A4" w:rsidP="00D523A4">
      <w:pPr>
        <w:spacing w:line="252" w:lineRule="auto"/>
        <w:jc w:val="both"/>
        <w:rPr>
          <w:rFonts w:asciiTheme="majorHAnsi" w:eastAsia="Times New Roman" w:hAnsiTheme="majorHAnsi" w:cstheme="majorHAnsi"/>
          <w:b/>
          <w:bCs/>
          <w:sz w:val="20"/>
          <w:szCs w:val="20"/>
        </w:rPr>
      </w:pPr>
      <w:r w:rsidRPr="00F22F32">
        <w:rPr>
          <w:rFonts w:asciiTheme="majorHAnsi" w:eastAsia="Times New Roman" w:hAnsiTheme="majorHAnsi" w:cstheme="majorHAnsi"/>
          <w:b/>
          <w:bCs/>
          <w:sz w:val="20"/>
          <w:szCs w:val="20"/>
        </w:rPr>
        <w:t>Key development trends and emerging issues in the year 2020 and their implications for Mozambique’s SDGs priorities</w:t>
      </w:r>
    </w:p>
    <w:p w14:paraId="60D05ECB" w14:textId="77777777" w:rsidR="00D523A4" w:rsidRPr="00F22F32" w:rsidRDefault="00D523A4" w:rsidP="00D523A4">
      <w:pPr>
        <w:jc w:val="both"/>
        <w:rPr>
          <w:rFonts w:asciiTheme="majorHAnsi" w:eastAsia="Times New Roman" w:hAnsiTheme="majorHAnsi" w:cstheme="majorHAnsi"/>
          <w:sz w:val="20"/>
          <w:szCs w:val="20"/>
        </w:rPr>
      </w:pPr>
    </w:p>
    <w:p w14:paraId="34D17374" w14:textId="77777777" w:rsidR="00D523A4" w:rsidRPr="00F22F32" w:rsidRDefault="00D523A4" w:rsidP="00D523A4">
      <w:pPr>
        <w:jc w:val="both"/>
        <w:rPr>
          <w:rFonts w:asciiTheme="majorHAnsi" w:eastAsia="Times New Roman" w:hAnsiTheme="majorHAnsi" w:cstheme="majorHAnsi"/>
          <w:i/>
          <w:iCs/>
          <w:sz w:val="20"/>
          <w:szCs w:val="20"/>
        </w:rPr>
      </w:pPr>
      <w:r w:rsidRPr="00F22F32">
        <w:rPr>
          <w:rFonts w:asciiTheme="majorHAnsi" w:eastAsia="Times New Roman" w:hAnsiTheme="majorHAnsi" w:cstheme="majorHAnsi"/>
          <w:i/>
          <w:iCs/>
          <w:sz w:val="20"/>
          <w:szCs w:val="20"/>
        </w:rPr>
        <w:t>Key development trends and emerging issues</w:t>
      </w:r>
    </w:p>
    <w:p w14:paraId="09406AD3" w14:textId="39981D02" w:rsidR="00D523A4" w:rsidRPr="00F22F32" w:rsidRDefault="00D523A4" w:rsidP="00D523A4">
      <w:pPr>
        <w:jc w:val="both"/>
        <w:rPr>
          <w:rFonts w:asciiTheme="majorHAnsi" w:eastAsia="Times New Roman" w:hAnsiTheme="majorHAnsi" w:cstheme="majorHAnsi"/>
          <w:sz w:val="20"/>
          <w:szCs w:val="20"/>
        </w:rPr>
      </w:pPr>
      <w:r w:rsidRPr="00F22F32">
        <w:rPr>
          <w:rFonts w:asciiTheme="majorHAnsi" w:eastAsia="Times New Roman" w:hAnsiTheme="majorHAnsi" w:cstheme="majorHAnsi"/>
          <w:sz w:val="20"/>
          <w:szCs w:val="20"/>
        </w:rPr>
        <w:t>In Mozambique, as in the whole world, 2020 was marked by the irruption of the C</w:t>
      </w:r>
      <w:r w:rsidR="00A1456B" w:rsidRPr="00F22F32">
        <w:rPr>
          <w:rFonts w:asciiTheme="majorHAnsi" w:eastAsia="Times New Roman" w:hAnsiTheme="majorHAnsi" w:cstheme="majorHAnsi"/>
          <w:sz w:val="20"/>
          <w:szCs w:val="20"/>
        </w:rPr>
        <w:t>OVID</w:t>
      </w:r>
      <w:r w:rsidRPr="00F22F32">
        <w:rPr>
          <w:rFonts w:asciiTheme="majorHAnsi" w:eastAsia="Times New Roman" w:hAnsiTheme="majorHAnsi" w:cstheme="majorHAnsi"/>
          <w:sz w:val="20"/>
          <w:szCs w:val="20"/>
        </w:rPr>
        <w:t xml:space="preserve">-19 pandemic. The country was less hit than neighboring countries </w:t>
      </w:r>
      <w:r w:rsidR="009D18A4" w:rsidRPr="00F22F32">
        <w:rPr>
          <w:rFonts w:asciiTheme="majorHAnsi" w:eastAsia="Times New Roman" w:hAnsiTheme="majorHAnsi" w:cstheme="majorHAnsi"/>
          <w:sz w:val="20"/>
          <w:szCs w:val="20"/>
        </w:rPr>
        <w:t xml:space="preserve">such as </w:t>
      </w:r>
      <w:r w:rsidRPr="00F22F32">
        <w:rPr>
          <w:rFonts w:asciiTheme="majorHAnsi" w:eastAsia="Times New Roman" w:hAnsiTheme="majorHAnsi" w:cstheme="majorHAnsi"/>
          <w:sz w:val="20"/>
          <w:szCs w:val="20"/>
        </w:rPr>
        <w:t xml:space="preserve">South Africa and </w:t>
      </w:r>
      <w:r w:rsidR="009D18A4" w:rsidRPr="00F22F32">
        <w:rPr>
          <w:rFonts w:asciiTheme="majorHAnsi" w:eastAsia="Times New Roman" w:hAnsiTheme="majorHAnsi" w:cstheme="majorHAnsi"/>
          <w:sz w:val="20"/>
          <w:szCs w:val="20"/>
        </w:rPr>
        <w:t>Es</w:t>
      </w:r>
      <w:r w:rsidRPr="00F22F32">
        <w:rPr>
          <w:rFonts w:asciiTheme="majorHAnsi" w:eastAsia="Times New Roman" w:hAnsiTheme="majorHAnsi" w:cstheme="majorHAnsi"/>
          <w:sz w:val="20"/>
          <w:szCs w:val="20"/>
        </w:rPr>
        <w:t xml:space="preserve">watini as large sections of the Mozambique population live in rural areas detached from social exchanges with the rest of the country </w:t>
      </w:r>
      <w:r w:rsidR="009D18A4" w:rsidRPr="00F22F32">
        <w:rPr>
          <w:rFonts w:asciiTheme="majorHAnsi" w:eastAsia="Times New Roman" w:hAnsiTheme="majorHAnsi" w:cstheme="majorHAnsi"/>
          <w:sz w:val="20"/>
          <w:szCs w:val="20"/>
        </w:rPr>
        <w:t>and</w:t>
      </w:r>
      <w:r w:rsidRPr="00F22F32">
        <w:rPr>
          <w:rFonts w:asciiTheme="majorHAnsi" w:eastAsia="Times New Roman" w:hAnsiTheme="majorHAnsi" w:cstheme="majorHAnsi"/>
          <w:sz w:val="20"/>
          <w:szCs w:val="20"/>
        </w:rPr>
        <w:t xml:space="preserve"> with regional and global economies. From a public health perspective, the Government set up generally effective prevention measures, except in the Christmas period of 2020 when the relaxation of measures resulted in a spike in contagion. Nevertheless, the slump in global demand and commodity prices impacted the economy which recorded its first contraction in two decades (-1.3%) uncovering the extreme vulnerability of the current economic model to exogenous shocks</w:t>
      </w:r>
      <w:r w:rsidR="009D18A4" w:rsidRPr="00F22F32">
        <w:rPr>
          <w:rFonts w:asciiTheme="majorHAnsi" w:eastAsia="Times New Roman" w:hAnsiTheme="majorHAnsi" w:cstheme="majorHAnsi"/>
          <w:sz w:val="20"/>
          <w:szCs w:val="20"/>
        </w:rPr>
        <w:t>. This was</w:t>
      </w:r>
      <w:r w:rsidRPr="00F22F32">
        <w:rPr>
          <w:rFonts w:asciiTheme="majorHAnsi" w:eastAsia="Times New Roman" w:hAnsiTheme="majorHAnsi" w:cstheme="majorHAnsi"/>
          <w:sz w:val="20"/>
          <w:szCs w:val="20"/>
        </w:rPr>
        <w:t xml:space="preserve"> aggravated by the servicing of USD2.2 billion in undisclosed sovereign debt, discovered in 2017 which currently absorbs </w:t>
      </w:r>
      <w:r w:rsidR="00BA075E" w:rsidRPr="00F22F32">
        <w:rPr>
          <w:rFonts w:asciiTheme="majorHAnsi" w:eastAsia="Times New Roman" w:hAnsiTheme="majorHAnsi" w:cstheme="majorHAnsi"/>
          <w:sz w:val="20"/>
          <w:szCs w:val="20"/>
        </w:rPr>
        <w:t>one-</w:t>
      </w:r>
      <w:r w:rsidRPr="00F22F32">
        <w:rPr>
          <w:rFonts w:asciiTheme="majorHAnsi" w:eastAsia="Times New Roman" w:hAnsiTheme="majorHAnsi" w:cstheme="majorHAnsi"/>
          <w:sz w:val="20"/>
          <w:szCs w:val="20"/>
        </w:rPr>
        <w:t xml:space="preserve">third of the country’s fiscal space. At the same time small scale agriculture and fishing, growing at 2.7% partially cushioned the impact, </w:t>
      </w:r>
      <w:r w:rsidR="004F6D03" w:rsidRPr="00F22F32">
        <w:rPr>
          <w:rFonts w:asciiTheme="majorHAnsi" w:eastAsia="Times New Roman" w:hAnsiTheme="majorHAnsi" w:cstheme="majorHAnsi"/>
          <w:sz w:val="20"/>
          <w:szCs w:val="20"/>
        </w:rPr>
        <w:t>highlighting that</w:t>
      </w:r>
      <w:r w:rsidRPr="00F22F32">
        <w:rPr>
          <w:rFonts w:asciiTheme="majorHAnsi" w:eastAsia="Times New Roman" w:hAnsiTheme="majorHAnsi" w:cstheme="majorHAnsi"/>
          <w:sz w:val="20"/>
          <w:szCs w:val="20"/>
        </w:rPr>
        <w:t xml:space="preserve"> it is key source of resilience for the country despite low </w:t>
      </w:r>
      <w:r w:rsidR="00EB3D43" w:rsidRPr="00F22F32">
        <w:rPr>
          <w:rFonts w:asciiTheme="majorHAnsi" w:eastAsia="Times New Roman" w:hAnsiTheme="majorHAnsi" w:cstheme="majorHAnsi"/>
          <w:sz w:val="20"/>
          <w:szCs w:val="20"/>
        </w:rPr>
        <w:t>productivity</w:t>
      </w:r>
      <w:r w:rsidRPr="00F22F32">
        <w:rPr>
          <w:rFonts w:asciiTheme="majorHAnsi" w:eastAsia="Times New Roman" w:hAnsiTheme="majorHAnsi" w:cstheme="majorHAnsi"/>
          <w:sz w:val="20"/>
          <w:szCs w:val="20"/>
        </w:rPr>
        <w:t xml:space="preserve">, as it occupies around 70% of the </w:t>
      </w:r>
      <w:r w:rsidR="005D1081" w:rsidRPr="00F22F32">
        <w:rPr>
          <w:rFonts w:asciiTheme="majorHAnsi" w:eastAsia="Times New Roman" w:hAnsiTheme="majorHAnsi" w:cstheme="majorHAnsi"/>
          <w:sz w:val="20"/>
          <w:szCs w:val="20"/>
        </w:rPr>
        <w:t>labor</w:t>
      </w:r>
      <w:r w:rsidRPr="00F22F32">
        <w:rPr>
          <w:rFonts w:asciiTheme="majorHAnsi" w:eastAsia="Times New Roman" w:hAnsiTheme="majorHAnsi" w:cstheme="majorHAnsi"/>
          <w:sz w:val="20"/>
          <w:szCs w:val="20"/>
        </w:rPr>
        <w:t xml:space="preserve"> force. Agriculture was aided by the absence of major natural disasters in 2020.</w:t>
      </w:r>
    </w:p>
    <w:p w14:paraId="7CCE1EE4" w14:textId="77777777" w:rsidR="00D523A4" w:rsidRPr="00F22F32" w:rsidRDefault="00D523A4" w:rsidP="00D523A4">
      <w:pPr>
        <w:jc w:val="both"/>
        <w:rPr>
          <w:rFonts w:asciiTheme="majorHAnsi" w:eastAsia="Times New Roman" w:hAnsiTheme="majorHAnsi" w:cstheme="majorHAnsi"/>
          <w:sz w:val="20"/>
          <w:szCs w:val="20"/>
        </w:rPr>
      </w:pPr>
    </w:p>
    <w:p w14:paraId="074ED3E8" w14:textId="1194D4E7" w:rsidR="00D523A4" w:rsidRPr="00F22F32" w:rsidRDefault="00D523A4" w:rsidP="00D523A4">
      <w:pPr>
        <w:jc w:val="both"/>
        <w:rPr>
          <w:rFonts w:asciiTheme="majorHAnsi" w:eastAsia="Times New Roman" w:hAnsiTheme="majorHAnsi" w:cstheme="majorHAnsi"/>
          <w:sz w:val="20"/>
          <w:szCs w:val="20"/>
        </w:rPr>
      </w:pPr>
      <w:r w:rsidRPr="00F22F32">
        <w:rPr>
          <w:rFonts w:asciiTheme="majorHAnsi" w:eastAsia="Times New Roman" w:hAnsiTheme="majorHAnsi" w:cstheme="majorHAnsi"/>
          <w:sz w:val="20"/>
          <w:szCs w:val="20"/>
        </w:rPr>
        <w:t xml:space="preserve">The </w:t>
      </w:r>
      <w:r w:rsidR="00A1456B" w:rsidRPr="00F22F32">
        <w:rPr>
          <w:rFonts w:asciiTheme="majorHAnsi" w:eastAsia="Times New Roman" w:hAnsiTheme="majorHAnsi" w:cstheme="majorHAnsi"/>
          <w:sz w:val="20"/>
          <w:szCs w:val="20"/>
        </w:rPr>
        <w:t>COVID-19</w:t>
      </w:r>
      <w:r w:rsidRPr="00F22F32">
        <w:rPr>
          <w:rFonts w:asciiTheme="majorHAnsi" w:eastAsia="Times New Roman" w:hAnsiTheme="majorHAnsi" w:cstheme="majorHAnsi"/>
          <w:sz w:val="20"/>
          <w:szCs w:val="20"/>
        </w:rPr>
        <w:t xml:space="preserve"> prevention measures hit the economy of the greater Maputo area hard which represents around 40% of the entire economy, especially the services sector, with large loses in formal employment and informal income generation opportunities in urban areas. The World Bank has estimated this will result in an increase in 1 million people falling below the poverty line. In addition, schools have remained close for about a year which creates the risk of worsening the already very low attendance rates (2.5 years on average for girls and 4.5 years on average for boys). Most public schools lacked WASH facilities that could have enabled them to resume presential lessons </w:t>
      </w:r>
      <w:r w:rsidR="00556F1C" w:rsidRPr="00F22F32">
        <w:rPr>
          <w:rFonts w:asciiTheme="majorHAnsi" w:eastAsia="Times New Roman" w:hAnsiTheme="majorHAnsi" w:cstheme="majorHAnsi"/>
          <w:sz w:val="20"/>
          <w:szCs w:val="20"/>
        </w:rPr>
        <w:t>as their</w:t>
      </w:r>
      <w:r w:rsidRPr="00F22F32">
        <w:rPr>
          <w:rFonts w:asciiTheme="majorHAnsi" w:eastAsia="Times New Roman" w:hAnsiTheme="majorHAnsi" w:cstheme="majorHAnsi"/>
          <w:sz w:val="20"/>
          <w:szCs w:val="20"/>
        </w:rPr>
        <w:t xml:space="preserve"> private school</w:t>
      </w:r>
      <w:r w:rsidR="00556F1C" w:rsidRPr="00F22F32">
        <w:rPr>
          <w:rFonts w:asciiTheme="majorHAnsi" w:eastAsia="Times New Roman" w:hAnsiTheme="majorHAnsi" w:cstheme="majorHAnsi"/>
          <w:sz w:val="20"/>
          <w:szCs w:val="20"/>
        </w:rPr>
        <w:t xml:space="preserve"> counterparts</w:t>
      </w:r>
      <w:r w:rsidRPr="00F22F32">
        <w:rPr>
          <w:rFonts w:asciiTheme="majorHAnsi" w:eastAsia="Times New Roman" w:hAnsiTheme="majorHAnsi" w:cstheme="majorHAnsi"/>
          <w:sz w:val="20"/>
          <w:szCs w:val="20"/>
        </w:rPr>
        <w:t xml:space="preserve"> in Maputo.</w:t>
      </w:r>
    </w:p>
    <w:p w14:paraId="5E04F314" w14:textId="77777777" w:rsidR="00D523A4" w:rsidRPr="00F22F32" w:rsidRDefault="00D523A4" w:rsidP="00D523A4">
      <w:pPr>
        <w:jc w:val="both"/>
        <w:rPr>
          <w:rFonts w:asciiTheme="majorHAnsi" w:eastAsia="Times New Roman" w:hAnsiTheme="majorHAnsi" w:cstheme="majorHAnsi"/>
          <w:sz w:val="20"/>
          <w:szCs w:val="20"/>
        </w:rPr>
      </w:pPr>
    </w:p>
    <w:p w14:paraId="7624280C" w14:textId="6A15DEAB" w:rsidR="00D523A4" w:rsidRPr="00F22F32" w:rsidRDefault="00D523A4" w:rsidP="00D523A4">
      <w:pPr>
        <w:jc w:val="both"/>
        <w:rPr>
          <w:rFonts w:asciiTheme="majorHAnsi" w:eastAsia="Times New Roman" w:hAnsiTheme="majorHAnsi" w:cstheme="majorHAnsi"/>
          <w:sz w:val="20"/>
          <w:szCs w:val="20"/>
        </w:rPr>
      </w:pPr>
      <w:r w:rsidRPr="00F22F32">
        <w:rPr>
          <w:rFonts w:asciiTheme="majorHAnsi" w:eastAsia="Times New Roman" w:hAnsiTheme="majorHAnsi" w:cstheme="majorHAnsi"/>
          <w:sz w:val="20"/>
          <w:szCs w:val="20"/>
        </w:rPr>
        <w:t>Another key develop</w:t>
      </w:r>
      <w:r w:rsidR="00F7628E" w:rsidRPr="00F22F32">
        <w:rPr>
          <w:rFonts w:asciiTheme="majorHAnsi" w:eastAsia="Times New Roman" w:hAnsiTheme="majorHAnsi" w:cstheme="majorHAnsi"/>
          <w:sz w:val="20"/>
          <w:szCs w:val="20"/>
        </w:rPr>
        <w:t>ment</w:t>
      </w:r>
      <w:r w:rsidRPr="00F22F32">
        <w:rPr>
          <w:rFonts w:asciiTheme="majorHAnsi" w:eastAsia="Times New Roman" w:hAnsiTheme="majorHAnsi" w:cstheme="majorHAnsi"/>
          <w:sz w:val="20"/>
          <w:szCs w:val="20"/>
        </w:rPr>
        <w:t xml:space="preserve"> was the aggravation of the </w:t>
      </w:r>
      <w:r w:rsidRPr="00F22F32">
        <w:rPr>
          <w:rFonts w:asciiTheme="majorHAnsi" w:eastAsia="Times New Roman" w:hAnsiTheme="majorHAnsi" w:cstheme="majorHAnsi"/>
          <w:sz w:val="20"/>
          <w:szCs w:val="20"/>
        </w:rPr>
        <w:t xml:space="preserve">attacks by </w:t>
      </w:r>
      <w:r w:rsidR="00C054DB" w:rsidRPr="00F22F32">
        <w:rPr>
          <w:rFonts w:asciiTheme="majorHAnsi" w:eastAsia="Times New Roman" w:hAnsiTheme="majorHAnsi" w:cstheme="majorHAnsi"/>
          <w:sz w:val="20"/>
          <w:szCs w:val="20"/>
        </w:rPr>
        <w:t xml:space="preserve">non-state </w:t>
      </w:r>
      <w:r w:rsidRPr="00F22F32">
        <w:rPr>
          <w:rFonts w:asciiTheme="majorHAnsi" w:eastAsia="Times New Roman" w:hAnsiTheme="majorHAnsi" w:cstheme="majorHAnsi"/>
          <w:sz w:val="20"/>
          <w:szCs w:val="20"/>
        </w:rPr>
        <w:t xml:space="preserve">armed groups in Cabo Delgado which caused </w:t>
      </w:r>
      <w:r w:rsidR="00852226" w:rsidRPr="00F22F32">
        <w:rPr>
          <w:rFonts w:asciiTheme="majorHAnsi" w:eastAsia="Times New Roman" w:hAnsiTheme="majorHAnsi" w:cstheme="majorHAnsi"/>
          <w:sz w:val="20"/>
          <w:szCs w:val="20"/>
        </w:rPr>
        <w:t>an</w:t>
      </w:r>
      <w:r w:rsidRPr="00F22F32">
        <w:rPr>
          <w:rFonts w:asciiTheme="majorHAnsi" w:eastAsia="Times New Roman" w:hAnsiTheme="majorHAnsi" w:cstheme="majorHAnsi"/>
          <w:sz w:val="20"/>
          <w:szCs w:val="20"/>
        </w:rPr>
        <w:t xml:space="preserve"> estimated loss of </w:t>
      </w:r>
      <w:r w:rsidR="00852226" w:rsidRPr="00F22F32">
        <w:rPr>
          <w:rFonts w:asciiTheme="majorHAnsi" w:eastAsia="Times New Roman" w:hAnsiTheme="majorHAnsi" w:cstheme="majorHAnsi"/>
          <w:sz w:val="20"/>
          <w:szCs w:val="20"/>
        </w:rPr>
        <w:t xml:space="preserve">over </w:t>
      </w:r>
      <w:r w:rsidRPr="00F22F32">
        <w:rPr>
          <w:rFonts w:asciiTheme="majorHAnsi" w:eastAsia="Times New Roman" w:hAnsiTheme="majorHAnsi" w:cstheme="majorHAnsi"/>
          <w:sz w:val="20"/>
          <w:szCs w:val="20"/>
        </w:rPr>
        <w:t>2,000 lives, the displacement of 550,000 people (750,000</w:t>
      </w:r>
      <w:r w:rsidR="00494FA4" w:rsidRPr="00F22F32">
        <w:rPr>
          <w:rFonts w:asciiTheme="majorHAnsi" w:eastAsia="Times New Roman" w:hAnsiTheme="majorHAnsi" w:cstheme="majorHAnsi"/>
          <w:sz w:val="20"/>
          <w:szCs w:val="20"/>
        </w:rPr>
        <w:t xml:space="preserve"> people</w:t>
      </w:r>
      <w:r w:rsidR="00CD6874" w:rsidRPr="00F22F32">
        <w:rPr>
          <w:rFonts w:asciiTheme="majorHAnsi" w:eastAsia="Times New Roman" w:hAnsiTheme="majorHAnsi" w:cstheme="majorHAnsi"/>
          <w:sz w:val="20"/>
          <w:szCs w:val="20"/>
        </w:rPr>
        <w:t xml:space="preserve"> by</w:t>
      </w:r>
      <w:r w:rsidRPr="00F22F32">
        <w:rPr>
          <w:rFonts w:asciiTheme="majorHAnsi" w:eastAsia="Times New Roman" w:hAnsiTheme="majorHAnsi" w:cstheme="majorHAnsi"/>
          <w:sz w:val="20"/>
          <w:szCs w:val="20"/>
        </w:rPr>
        <w:t xml:space="preserve"> March 2021) and the disruption of livelihoods. In addition, Total paused the development of the gas liquification facilities in the </w:t>
      </w:r>
      <w:r w:rsidR="00EB5789" w:rsidRPr="00F22F32">
        <w:rPr>
          <w:rFonts w:asciiTheme="majorHAnsi" w:eastAsia="Times New Roman" w:hAnsiTheme="majorHAnsi" w:cstheme="majorHAnsi"/>
          <w:sz w:val="20"/>
          <w:szCs w:val="20"/>
        </w:rPr>
        <w:t>District of</w:t>
      </w:r>
      <w:r w:rsidRPr="00F22F32">
        <w:rPr>
          <w:rFonts w:asciiTheme="majorHAnsi" w:eastAsia="Times New Roman" w:hAnsiTheme="majorHAnsi" w:cstheme="majorHAnsi"/>
          <w:sz w:val="20"/>
          <w:szCs w:val="20"/>
        </w:rPr>
        <w:t xml:space="preserve"> Palma, causing an estimated loss of USD 2bn in supply chain contracts for Mozambican firms</w:t>
      </w:r>
      <w:r w:rsidR="003D7E73" w:rsidRPr="00F22F32">
        <w:rPr>
          <w:rFonts w:asciiTheme="majorHAnsi" w:eastAsia="Times New Roman" w:hAnsiTheme="majorHAnsi" w:cstheme="majorHAnsi"/>
          <w:sz w:val="20"/>
          <w:szCs w:val="20"/>
        </w:rPr>
        <w:t xml:space="preserve">. Furthermore, </w:t>
      </w:r>
      <w:r w:rsidRPr="00F22F32">
        <w:rPr>
          <w:rFonts w:asciiTheme="majorHAnsi" w:eastAsia="Times New Roman" w:hAnsiTheme="majorHAnsi" w:cstheme="majorHAnsi"/>
          <w:sz w:val="20"/>
          <w:szCs w:val="20"/>
        </w:rPr>
        <w:t xml:space="preserve">Exxon suspended </w:t>
      </w:r>
      <w:r w:rsidRPr="00F22F32">
        <w:rPr>
          <w:rFonts w:asciiTheme="majorHAnsi" w:eastAsia="Times New Roman" w:hAnsiTheme="majorHAnsi" w:cstheme="majorHAnsi"/>
          <w:i/>
          <w:iCs/>
          <w:sz w:val="20"/>
          <w:szCs w:val="20"/>
        </w:rPr>
        <w:t>sine die</w:t>
      </w:r>
      <w:r w:rsidRPr="00F22F32">
        <w:rPr>
          <w:rFonts w:asciiTheme="majorHAnsi" w:eastAsia="Times New Roman" w:hAnsiTheme="majorHAnsi" w:cstheme="majorHAnsi"/>
          <w:sz w:val="20"/>
          <w:szCs w:val="20"/>
        </w:rPr>
        <w:t xml:space="preserve"> its final investment decision, estimated at USD 30bn.</w:t>
      </w:r>
    </w:p>
    <w:p w14:paraId="107E6EAD" w14:textId="03C89BFC" w:rsidR="004410D6" w:rsidRPr="00F22F32" w:rsidRDefault="00D523A4" w:rsidP="00D523A4">
      <w:pPr>
        <w:jc w:val="both"/>
        <w:rPr>
          <w:rFonts w:asciiTheme="majorHAnsi" w:eastAsia="Times New Roman" w:hAnsiTheme="majorHAnsi" w:cstheme="majorHAnsi"/>
          <w:sz w:val="20"/>
          <w:szCs w:val="20"/>
        </w:rPr>
      </w:pPr>
      <w:r w:rsidRPr="00F22F32">
        <w:rPr>
          <w:rFonts w:asciiTheme="majorHAnsi" w:eastAsia="Times New Roman" w:hAnsiTheme="majorHAnsi" w:cstheme="majorHAnsi"/>
          <w:sz w:val="20"/>
          <w:szCs w:val="20"/>
        </w:rPr>
        <w:t xml:space="preserve">The concurrence of the </w:t>
      </w:r>
      <w:r w:rsidR="003E46F2" w:rsidRPr="00F22F32">
        <w:rPr>
          <w:rFonts w:asciiTheme="majorHAnsi" w:eastAsia="Times New Roman" w:hAnsiTheme="majorHAnsi" w:cstheme="majorHAnsi"/>
          <w:sz w:val="20"/>
          <w:szCs w:val="20"/>
        </w:rPr>
        <w:t xml:space="preserve">COVID-19 </w:t>
      </w:r>
      <w:r w:rsidRPr="00F22F32">
        <w:rPr>
          <w:rFonts w:asciiTheme="majorHAnsi" w:eastAsia="Times New Roman" w:hAnsiTheme="majorHAnsi" w:cstheme="majorHAnsi"/>
          <w:sz w:val="20"/>
          <w:szCs w:val="20"/>
        </w:rPr>
        <w:t xml:space="preserve">pandemic and </w:t>
      </w:r>
      <w:r w:rsidR="00156A6D" w:rsidRPr="00F22F32">
        <w:rPr>
          <w:rFonts w:asciiTheme="majorHAnsi" w:eastAsia="Times New Roman" w:hAnsiTheme="majorHAnsi" w:cstheme="majorHAnsi"/>
          <w:sz w:val="20"/>
          <w:szCs w:val="20"/>
        </w:rPr>
        <w:t xml:space="preserve">conflict in </w:t>
      </w:r>
      <w:r w:rsidRPr="00F22F32">
        <w:rPr>
          <w:rFonts w:asciiTheme="majorHAnsi" w:eastAsia="Times New Roman" w:hAnsiTheme="majorHAnsi" w:cstheme="majorHAnsi"/>
          <w:sz w:val="20"/>
          <w:szCs w:val="20"/>
        </w:rPr>
        <w:t xml:space="preserve">Cabo Delgado </w:t>
      </w:r>
      <w:r w:rsidR="0054071A" w:rsidRPr="00F22F32">
        <w:rPr>
          <w:rFonts w:asciiTheme="majorHAnsi" w:eastAsia="Times New Roman" w:hAnsiTheme="majorHAnsi" w:cstheme="majorHAnsi"/>
          <w:sz w:val="20"/>
          <w:szCs w:val="20"/>
        </w:rPr>
        <w:t>led the</w:t>
      </w:r>
      <w:r w:rsidRPr="00F22F32">
        <w:rPr>
          <w:rFonts w:asciiTheme="majorHAnsi" w:eastAsia="Times New Roman" w:hAnsiTheme="majorHAnsi" w:cstheme="majorHAnsi"/>
          <w:sz w:val="20"/>
          <w:szCs w:val="20"/>
        </w:rPr>
        <w:t xml:space="preserve"> Government and the international community </w:t>
      </w:r>
      <w:r w:rsidR="0054071A" w:rsidRPr="00F22F32">
        <w:rPr>
          <w:rFonts w:asciiTheme="majorHAnsi" w:eastAsia="Times New Roman" w:hAnsiTheme="majorHAnsi" w:cstheme="majorHAnsi"/>
          <w:sz w:val="20"/>
          <w:szCs w:val="20"/>
        </w:rPr>
        <w:t>to</w:t>
      </w:r>
      <w:r w:rsidRPr="00F22F32">
        <w:rPr>
          <w:rFonts w:asciiTheme="majorHAnsi" w:eastAsia="Times New Roman" w:hAnsiTheme="majorHAnsi" w:cstheme="majorHAnsi"/>
          <w:sz w:val="20"/>
          <w:szCs w:val="20"/>
        </w:rPr>
        <w:t xml:space="preserve"> focus on </w:t>
      </w:r>
      <w:r w:rsidR="0054071A" w:rsidRPr="00F22F32">
        <w:rPr>
          <w:rFonts w:asciiTheme="majorHAnsi" w:eastAsia="Times New Roman" w:hAnsiTheme="majorHAnsi" w:cstheme="majorHAnsi"/>
          <w:sz w:val="20"/>
          <w:szCs w:val="20"/>
        </w:rPr>
        <w:t xml:space="preserve">a </w:t>
      </w:r>
      <w:r w:rsidRPr="00F22F32">
        <w:rPr>
          <w:rFonts w:asciiTheme="majorHAnsi" w:eastAsia="Times New Roman" w:hAnsiTheme="majorHAnsi" w:cstheme="majorHAnsi"/>
          <w:sz w:val="20"/>
          <w:szCs w:val="20"/>
        </w:rPr>
        <w:t>short-term emergency respons</w:t>
      </w:r>
      <w:r w:rsidR="0054071A" w:rsidRPr="00F22F32">
        <w:rPr>
          <w:rFonts w:asciiTheme="majorHAnsi" w:eastAsia="Times New Roman" w:hAnsiTheme="majorHAnsi" w:cstheme="majorHAnsi"/>
          <w:sz w:val="20"/>
          <w:szCs w:val="20"/>
        </w:rPr>
        <w:t>e which included the following</w:t>
      </w:r>
      <w:r w:rsidR="004410D6" w:rsidRPr="00F22F32">
        <w:rPr>
          <w:rFonts w:asciiTheme="majorHAnsi" w:eastAsia="Times New Roman" w:hAnsiTheme="majorHAnsi" w:cstheme="majorHAnsi"/>
          <w:sz w:val="20"/>
          <w:szCs w:val="20"/>
        </w:rPr>
        <w:t xml:space="preserve">: </w:t>
      </w:r>
    </w:p>
    <w:p w14:paraId="5D3909CD" w14:textId="21EF8150" w:rsidR="004410D6" w:rsidRPr="00F22F32" w:rsidRDefault="004410D6" w:rsidP="004410D6">
      <w:pPr>
        <w:pStyle w:val="ListParagraph"/>
        <w:numPr>
          <w:ilvl w:val="0"/>
          <w:numId w:val="59"/>
        </w:numPr>
        <w:jc w:val="both"/>
        <w:rPr>
          <w:rFonts w:asciiTheme="majorHAnsi" w:eastAsia="Times New Roman" w:hAnsiTheme="majorHAnsi" w:cstheme="majorHAnsi"/>
          <w:sz w:val="20"/>
          <w:szCs w:val="20"/>
        </w:rPr>
      </w:pPr>
      <w:r w:rsidRPr="00F22F32">
        <w:rPr>
          <w:rFonts w:asciiTheme="majorHAnsi" w:eastAsia="Times New Roman" w:hAnsiTheme="majorHAnsi" w:cstheme="majorHAnsi"/>
          <w:sz w:val="20"/>
          <w:szCs w:val="20"/>
        </w:rPr>
        <w:t>T</w:t>
      </w:r>
      <w:r w:rsidR="00D523A4" w:rsidRPr="00F22F32">
        <w:rPr>
          <w:rFonts w:asciiTheme="majorHAnsi" w:eastAsia="Times New Roman" w:hAnsiTheme="majorHAnsi" w:cstheme="majorHAnsi"/>
          <w:sz w:val="20"/>
          <w:szCs w:val="20"/>
        </w:rPr>
        <w:t xml:space="preserve">he promotion of the national private sector, for example the lack of approval of a local content law and the decline of credit to </w:t>
      </w:r>
      <w:r w:rsidR="00DD7A9B" w:rsidRPr="00F22F32">
        <w:rPr>
          <w:rFonts w:asciiTheme="majorHAnsi" w:eastAsia="Times New Roman" w:hAnsiTheme="majorHAnsi" w:cstheme="majorHAnsi"/>
          <w:sz w:val="20"/>
          <w:szCs w:val="20"/>
        </w:rPr>
        <w:t>agriculture.</w:t>
      </w:r>
      <w:r w:rsidR="00D523A4" w:rsidRPr="00F22F32">
        <w:rPr>
          <w:rFonts w:asciiTheme="majorHAnsi" w:eastAsia="Times New Roman" w:hAnsiTheme="majorHAnsi" w:cstheme="majorHAnsi"/>
          <w:sz w:val="20"/>
          <w:szCs w:val="20"/>
        </w:rPr>
        <w:t xml:space="preserve"> </w:t>
      </w:r>
    </w:p>
    <w:p w14:paraId="30E86F78" w14:textId="446DD613" w:rsidR="004410D6" w:rsidRPr="00F22F32" w:rsidRDefault="004410D6" w:rsidP="004410D6">
      <w:pPr>
        <w:pStyle w:val="ListParagraph"/>
        <w:numPr>
          <w:ilvl w:val="0"/>
          <w:numId w:val="59"/>
        </w:numPr>
        <w:jc w:val="both"/>
        <w:rPr>
          <w:rFonts w:asciiTheme="majorHAnsi" w:eastAsia="Times New Roman" w:hAnsiTheme="majorHAnsi" w:cstheme="majorHAnsi"/>
          <w:sz w:val="20"/>
          <w:szCs w:val="20"/>
        </w:rPr>
      </w:pPr>
      <w:r w:rsidRPr="00F22F32">
        <w:rPr>
          <w:rFonts w:asciiTheme="majorHAnsi" w:eastAsia="Times New Roman" w:hAnsiTheme="majorHAnsi" w:cstheme="majorHAnsi"/>
          <w:sz w:val="20"/>
          <w:szCs w:val="20"/>
        </w:rPr>
        <w:t>T</w:t>
      </w:r>
      <w:r w:rsidR="00D523A4" w:rsidRPr="00F22F32">
        <w:rPr>
          <w:rFonts w:asciiTheme="majorHAnsi" w:eastAsia="Times New Roman" w:hAnsiTheme="majorHAnsi" w:cstheme="majorHAnsi"/>
          <w:sz w:val="20"/>
          <w:szCs w:val="20"/>
        </w:rPr>
        <w:t>he lack</w:t>
      </w:r>
      <w:r w:rsidR="003352B3" w:rsidRPr="00F22F32">
        <w:rPr>
          <w:rFonts w:asciiTheme="majorHAnsi" w:eastAsia="Times New Roman" w:hAnsiTheme="majorHAnsi" w:cstheme="majorHAnsi"/>
          <w:sz w:val="20"/>
          <w:szCs w:val="20"/>
        </w:rPr>
        <w:t xml:space="preserve"> </w:t>
      </w:r>
      <w:r w:rsidR="00D523A4" w:rsidRPr="00F22F32">
        <w:rPr>
          <w:rFonts w:asciiTheme="majorHAnsi" w:eastAsia="Times New Roman" w:hAnsiTheme="majorHAnsi" w:cstheme="majorHAnsi"/>
          <w:sz w:val="20"/>
          <w:szCs w:val="20"/>
        </w:rPr>
        <w:t>of promotion of income generation opportunities, especially for the youth (for example</w:t>
      </w:r>
      <w:r w:rsidR="00B447CD" w:rsidRPr="00F22F32">
        <w:rPr>
          <w:rFonts w:asciiTheme="majorHAnsi" w:eastAsia="Times New Roman" w:hAnsiTheme="majorHAnsi" w:cstheme="majorHAnsi"/>
          <w:sz w:val="20"/>
          <w:szCs w:val="20"/>
        </w:rPr>
        <w:t>,</w:t>
      </w:r>
      <w:r w:rsidR="00D523A4" w:rsidRPr="00F22F32">
        <w:rPr>
          <w:rFonts w:asciiTheme="majorHAnsi" w:eastAsia="Times New Roman" w:hAnsiTheme="majorHAnsi" w:cstheme="majorHAnsi"/>
          <w:sz w:val="20"/>
          <w:szCs w:val="20"/>
        </w:rPr>
        <w:t xml:space="preserve"> weak implementation of the employment policy and lack of operationalization of the youth work programme defined in the Post-Disaster National Assessment, PDNA); </w:t>
      </w:r>
    </w:p>
    <w:p w14:paraId="271B3B3E" w14:textId="4083CF30" w:rsidR="004410D6" w:rsidRPr="00F22F32" w:rsidRDefault="004410D6" w:rsidP="004410D6">
      <w:pPr>
        <w:pStyle w:val="ListParagraph"/>
        <w:numPr>
          <w:ilvl w:val="0"/>
          <w:numId w:val="59"/>
        </w:numPr>
        <w:jc w:val="both"/>
        <w:rPr>
          <w:rFonts w:asciiTheme="majorHAnsi" w:eastAsia="Times New Roman" w:hAnsiTheme="majorHAnsi" w:cstheme="majorHAnsi"/>
          <w:sz w:val="20"/>
          <w:szCs w:val="20"/>
        </w:rPr>
      </w:pPr>
      <w:r w:rsidRPr="00F22F32">
        <w:rPr>
          <w:rFonts w:asciiTheme="majorHAnsi" w:eastAsia="Times New Roman" w:hAnsiTheme="majorHAnsi" w:cstheme="majorHAnsi"/>
          <w:sz w:val="20"/>
          <w:szCs w:val="20"/>
        </w:rPr>
        <w:t>T</w:t>
      </w:r>
      <w:r w:rsidR="00D523A4" w:rsidRPr="00F22F32">
        <w:rPr>
          <w:rFonts w:asciiTheme="majorHAnsi" w:eastAsia="Times New Roman" w:hAnsiTheme="majorHAnsi" w:cstheme="majorHAnsi"/>
          <w:sz w:val="20"/>
          <w:szCs w:val="20"/>
        </w:rPr>
        <w:t xml:space="preserve">he lack of follow-up on long-standing recommendations from the Extractive Industries Transparency Initiatives to generate greater socioeconomic impact from the extractive industries; </w:t>
      </w:r>
    </w:p>
    <w:p w14:paraId="453FAC39" w14:textId="77777777" w:rsidR="004410D6" w:rsidRPr="00F22F32" w:rsidRDefault="004410D6" w:rsidP="004410D6">
      <w:pPr>
        <w:pStyle w:val="ListParagraph"/>
        <w:numPr>
          <w:ilvl w:val="0"/>
          <w:numId w:val="59"/>
        </w:numPr>
        <w:jc w:val="both"/>
        <w:rPr>
          <w:rFonts w:asciiTheme="majorHAnsi" w:eastAsia="Times New Roman" w:hAnsiTheme="majorHAnsi" w:cstheme="majorHAnsi"/>
          <w:sz w:val="20"/>
          <w:szCs w:val="20"/>
        </w:rPr>
      </w:pPr>
      <w:r w:rsidRPr="00F22F32">
        <w:rPr>
          <w:rFonts w:asciiTheme="majorHAnsi" w:eastAsia="Times New Roman" w:hAnsiTheme="majorHAnsi" w:cstheme="majorHAnsi"/>
          <w:sz w:val="20"/>
          <w:szCs w:val="20"/>
        </w:rPr>
        <w:t>T</w:t>
      </w:r>
      <w:r w:rsidR="00D523A4" w:rsidRPr="00F22F32">
        <w:rPr>
          <w:rFonts w:asciiTheme="majorHAnsi" w:eastAsia="Times New Roman" w:hAnsiTheme="majorHAnsi" w:cstheme="majorHAnsi"/>
          <w:sz w:val="20"/>
          <w:szCs w:val="20"/>
        </w:rPr>
        <w:t xml:space="preserve">he partial implementation of the productive social protection scheme (PASP) (which budget was not executed in full, despite dire needs); </w:t>
      </w:r>
    </w:p>
    <w:p w14:paraId="472BE562" w14:textId="5007C15B" w:rsidR="004410D6" w:rsidRPr="00F22F32" w:rsidRDefault="004410D6" w:rsidP="004410D6">
      <w:pPr>
        <w:pStyle w:val="ListParagraph"/>
        <w:numPr>
          <w:ilvl w:val="0"/>
          <w:numId w:val="59"/>
        </w:numPr>
        <w:jc w:val="both"/>
        <w:rPr>
          <w:rFonts w:asciiTheme="majorHAnsi" w:eastAsia="Times New Roman" w:hAnsiTheme="majorHAnsi" w:cstheme="majorHAnsi"/>
          <w:sz w:val="20"/>
          <w:szCs w:val="20"/>
        </w:rPr>
      </w:pPr>
      <w:r w:rsidRPr="00F22F32">
        <w:rPr>
          <w:rFonts w:asciiTheme="majorHAnsi" w:eastAsia="Times New Roman" w:hAnsiTheme="majorHAnsi" w:cstheme="majorHAnsi"/>
          <w:sz w:val="20"/>
          <w:szCs w:val="20"/>
        </w:rPr>
        <w:t>N</w:t>
      </w:r>
      <w:r w:rsidR="00D523A4" w:rsidRPr="00F22F32">
        <w:rPr>
          <w:rFonts w:asciiTheme="majorHAnsi" w:eastAsia="Times New Roman" w:hAnsiTheme="majorHAnsi" w:cstheme="majorHAnsi"/>
          <w:sz w:val="20"/>
          <w:szCs w:val="20"/>
        </w:rPr>
        <w:t xml:space="preserve">ot leveraging opportunities for climate investment funds (including the carbon offset market) or to climate-proof investment (schools, health units, civil infrastructure);  </w:t>
      </w:r>
    </w:p>
    <w:p w14:paraId="69BF37C9" w14:textId="5491ABA8" w:rsidR="00D523A4" w:rsidRPr="00F22F32" w:rsidRDefault="004410D6" w:rsidP="00EB5789">
      <w:pPr>
        <w:pStyle w:val="ListParagraph"/>
        <w:numPr>
          <w:ilvl w:val="0"/>
          <w:numId w:val="59"/>
        </w:numPr>
        <w:jc w:val="both"/>
        <w:rPr>
          <w:rFonts w:asciiTheme="majorHAnsi" w:eastAsia="Times New Roman" w:hAnsiTheme="majorHAnsi" w:cstheme="majorHAnsi"/>
          <w:sz w:val="20"/>
          <w:szCs w:val="20"/>
        </w:rPr>
      </w:pPr>
      <w:r w:rsidRPr="00F22F32">
        <w:rPr>
          <w:rFonts w:asciiTheme="majorHAnsi" w:eastAsia="Times New Roman" w:hAnsiTheme="majorHAnsi" w:cstheme="majorHAnsi"/>
          <w:sz w:val="20"/>
          <w:szCs w:val="20"/>
        </w:rPr>
        <w:t>T</w:t>
      </w:r>
      <w:r w:rsidR="00D523A4" w:rsidRPr="00F22F32">
        <w:rPr>
          <w:rFonts w:asciiTheme="majorHAnsi" w:eastAsia="Times New Roman" w:hAnsiTheme="majorHAnsi" w:cstheme="majorHAnsi"/>
          <w:sz w:val="20"/>
          <w:szCs w:val="20"/>
        </w:rPr>
        <w:t>he lack of approval of the health financing strategy, the slow reform of the judicial system and the weak enforcement of the law on premature unions banning child marriage, and ma</w:t>
      </w:r>
      <w:r w:rsidR="00B447CD" w:rsidRPr="00F22F32">
        <w:rPr>
          <w:rFonts w:asciiTheme="majorHAnsi" w:eastAsia="Times New Roman" w:hAnsiTheme="majorHAnsi" w:cstheme="majorHAnsi"/>
          <w:sz w:val="20"/>
          <w:szCs w:val="20"/>
        </w:rPr>
        <w:t>n</w:t>
      </w:r>
      <w:r w:rsidR="00D523A4" w:rsidRPr="00F22F32">
        <w:rPr>
          <w:rFonts w:asciiTheme="majorHAnsi" w:eastAsia="Times New Roman" w:hAnsiTheme="majorHAnsi" w:cstheme="majorHAnsi"/>
          <w:sz w:val="20"/>
          <w:szCs w:val="20"/>
        </w:rPr>
        <w:t>y other examples of sustainable development policies that have taken the back seat in the fact of the pandemic and the Cabo Delgado conflict.</w:t>
      </w:r>
    </w:p>
    <w:p w14:paraId="4485C535" w14:textId="77777777" w:rsidR="00D523A4" w:rsidRPr="00F22F32" w:rsidRDefault="00D523A4" w:rsidP="00D523A4">
      <w:pPr>
        <w:jc w:val="both"/>
        <w:rPr>
          <w:rFonts w:asciiTheme="majorHAnsi" w:eastAsia="Times New Roman" w:hAnsiTheme="majorHAnsi" w:cstheme="majorHAnsi"/>
          <w:sz w:val="20"/>
          <w:szCs w:val="20"/>
        </w:rPr>
      </w:pPr>
    </w:p>
    <w:p w14:paraId="17E69E9F" w14:textId="79920473" w:rsidR="00D523A4" w:rsidRPr="00F22F32" w:rsidRDefault="00D523A4" w:rsidP="00D523A4">
      <w:pPr>
        <w:jc w:val="both"/>
        <w:rPr>
          <w:rFonts w:asciiTheme="majorHAnsi" w:eastAsia="Times New Roman" w:hAnsiTheme="majorHAnsi" w:cstheme="majorHAnsi"/>
          <w:sz w:val="20"/>
          <w:szCs w:val="20"/>
        </w:rPr>
      </w:pPr>
      <w:r w:rsidRPr="00F22F32">
        <w:rPr>
          <w:rFonts w:asciiTheme="majorHAnsi" w:eastAsia="Times New Roman" w:hAnsiTheme="majorHAnsi" w:cstheme="majorHAnsi"/>
          <w:sz w:val="20"/>
          <w:szCs w:val="20"/>
        </w:rPr>
        <w:t>The country has continued to record decrease</w:t>
      </w:r>
      <w:r w:rsidR="00B447CD" w:rsidRPr="00F22F32">
        <w:rPr>
          <w:rFonts w:asciiTheme="majorHAnsi" w:eastAsia="Times New Roman" w:hAnsiTheme="majorHAnsi" w:cstheme="majorHAnsi"/>
          <w:sz w:val="20"/>
          <w:szCs w:val="20"/>
        </w:rPr>
        <w:t>d</w:t>
      </w:r>
      <w:r w:rsidRPr="00F22F32">
        <w:rPr>
          <w:rFonts w:asciiTheme="majorHAnsi" w:eastAsia="Times New Roman" w:hAnsiTheme="majorHAnsi" w:cstheme="majorHAnsi"/>
          <w:sz w:val="20"/>
          <w:szCs w:val="20"/>
        </w:rPr>
        <w:t xml:space="preserve"> scores of international governance indicators (African Governance Indicator, Democracy Index, etc</w:t>
      </w:r>
      <w:r w:rsidR="00B447CD" w:rsidRPr="00F22F32">
        <w:rPr>
          <w:rFonts w:asciiTheme="majorHAnsi" w:eastAsia="Times New Roman" w:hAnsiTheme="majorHAnsi" w:cstheme="majorHAnsi"/>
          <w:sz w:val="20"/>
          <w:szCs w:val="20"/>
        </w:rPr>
        <w:t>.</w:t>
      </w:r>
      <w:r w:rsidRPr="00F22F32">
        <w:rPr>
          <w:rFonts w:asciiTheme="majorHAnsi" w:eastAsia="Times New Roman" w:hAnsiTheme="majorHAnsi" w:cstheme="majorHAnsi"/>
          <w:sz w:val="20"/>
          <w:szCs w:val="20"/>
        </w:rPr>
        <w:t xml:space="preserve">) reflecting the weakening of Rule of Law and the emergence of area of lawlessness and impunity (major </w:t>
      </w:r>
      <w:r w:rsidRPr="00F22F32">
        <w:rPr>
          <w:rFonts w:asciiTheme="majorHAnsi" w:eastAsia="Times New Roman" w:hAnsiTheme="majorHAnsi" w:cstheme="majorHAnsi"/>
          <w:sz w:val="20"/>
          <w:szCs w:val="20"/>
        </w:rPr>
        <w:lastRenderedPageBreak/>
        <w:t xml:space="preserve">corruption cases like the debt scandal where the national law was simply not applied as concluded by the Constitutional Council, no punition from violations of the environmental legislation, the Cabo Delgado conflict, widespread </w:t>
      </w:r>
      <w:r w:rsidR="00EE08CF" w:rsidRPr="00F22F32">
        <w:rPr>
          <w:rFonts w:asciiTheme="majorHAnsi" w:eastAsia="Times New Roman" w:hAnsiTheme="majorHAnsi" w:cstheme="majorHAnsi"/>
          <w:sz w:val="20"/>
          <w:szCs w:val="20"/>
        </w:rPr>
        <w:t>gender based violence (</w:t>
      </w:r>
      <w:r w:rsidRPr="00F22F32">
        <w:rPr>
          <w:rFonts w:asciiTheme="majorHAnsi" w:eastAsia="Times New Roman" w:hAnsiTheme="majorHAnsi" w:cstheme="majorHAnsi"/>
          <w:sz w:val="20"/>
          <w:szCs w:val="20"/>
        </w:rPr>
        <w:t>GBV</w:t>
      </w:r>
      <w:r w:rsidR="00EE08CF" w:rsidRPr="00F22F32">
        <w:rPr>
          <w:rFonts w:asciiTheme="majorHAnsi" w:eastAsia="Times New Roman" w:hAnsiTheme="majorHAnsi" w:cstheme="majorHAnsi"/>
          <w:sz w:val="20"/>
          <w:szCs w:val="20"/>
        </w:rPr>
        <w:t>)</w:t>
      </w:r>
      <w:r w:rsidRPr="00F22F32">
        <w:rPr>
          <w:rFonts w:asciiTheme="majorHAnsi" w:eastAsia="Times New Roman" w:hAnsiTheme="majorHAnsi" w:cstheme="majorHAnsi"/>
          <w:sz w:val="20"/>
          <w:szCs w:val="20"/>
        </w:rPr>
        <w:t xml:space="preserve"> cases which remain </w:t>
      </w:r>
      <w:r w:rsidR="00EB5789" w:rsidRPr="00F22F32">
        <w:rPr>
          <w:rFonts w:asciiTheme="majorHAnsi" w:eastAsia="Times New Roman" w:hAnsiTheme="majorHAnsi" w:cstheme="majorHAnsi"/>
          <w:sz w:val="20"/>
          <w:szCs w:val="20"/>
        </w:rPr>
        <w:t>unpunished</w:t>
      </w:r>
      <w:r w:rsidRPr="00F22F32">
        <w:rPr>
          <w:rFonts w:asciiTheme="majorHAnsi" w:eastAsia="Times New Roman" w:hAnsiTheme="majorHAnsi" w:cstheme="majorHAnsi"/>
          <w:sz w:val="20"/>
          <w:szCs w:val="20"/>
        </w:rPr>
        <w:t>, etc</w:t>
      </w:r>
      <w:r w:rsidR="005D7586" w:rsidRPr="00F22F32">
        <w:rPr>
          <w:rFonts w:asciiTheme="majorHAnsi" w:eastAsia="Times New Roman" w:hAnsiTheme="majorHAnsi" w:cstheme="majorHAnsi"/>
          <w:sz w:val="20"/>
          <w:szCs w:val="20"/>
        </w:rPr>
        <w:t>.</w:t>
      </w:r>
      <w:r w:rsidRPr="00F22F32">
        <w:rPr>
          <w:rFonts w:asciiTheme="majorHAnsi" w:eastAsia="Times New Roman" w:hAnsiTheme="majorHAnsi" w:cstheme="majorHAnsi"/>
          <w:sz w:val="20"/>
          <w:szCs w:val="20"/>
        </w:rPr>
        <w:t>). The process of disarmament and reconciliation of the opposition armed members of Renamo made positive progress and the attacks from the dissident group (Renamo Military Junta) in Sofala and Manica provinces reduced considerably.</w:t>
      </w:r>
    </w:p>
    <w:p w14:paraId="055FEF6A" w14:textId="77777777" w:rsidR="00D523A4" w:rsidRPr="00F22F32" w:rsidRDefault="00D523A4" w:rsidP="00D523A4">
      <w:pPr>
        <w:jc w:val="both"/>
        <w:rPr>
          <w:rFonts w:asciiTheme="majorHAnsi" w:eastAsia="Times New Roman" w:hAnsiTheme="majorHAnsi" w:cstheme="majorHAnsi"/>
          <w:sz w:val="20"/>
          <w:szCs w:val="20"/>
        </w:rPr>
      </w:pPr>
    </w:p>
    <w:p w14:paraId="4C706B15" w14:textId="77777777" w:rsidR="00D523A4" w:rsidRPr="00F22F32" w:rsidRDefault="00D523A4" w:rsidP="00D523A4">
      <w:pPr>
        <w:jc w:val="both"/>
        <w:rPr>
          <w:rFonts w:asciiTheme="majorHAnsi" w:eastAsia="Times New Roman" w:hAnsiTheme="majorHAnsi" w:cstheme="majorHAnsi"/>
          <w:i/>
          <w:iCs/>
          <w:sz w:val="20"/>
          <w:szCs w:val="20"/>
        </w:rPr>
      </w:pPr>
      <w:r w:rsidRPr="00F22F32">
        <w:rPr>
          <w:rFonts w:asciiTheme="majorHAnsi" w:eastAsia="Times New Roman" w:hAnsiTheme="majorHAnsi" w:cstheme="majorHAnsi"/>
          <w:i/>
          <w:iCs/>
          <w:sz w:val="20"/>
          <w:szCs w:val="20"/>
        </w:rPr>
        <w:t>Implications for Mozambique’s SDGs priorities</w:t>
      </w:r>
    </w:p>
    <w:p w14:paraId="27509BAC" w14:textId="45A01115" w:rsidR="00D523A4" w:rsidRPr="00F22F32" w:rsidRDefault="00D523A4" w:rsidP="011CE676">
      <w:pPr>
        <w:jc w:val="both"/>
        <w:rPr>
          <w:rFonts w:asciiTheme="majorHAnsi" w:eastAsia="Times New Roman" w:hAnsiTheme="majorHAnsi" w:cstheme="majorBidi"/>
          <w:sz w:val="20"/>
          <w:szCs w:val="20"/>
        </w:rPr>
      </w:pPr>
      <w:r w:rsidRPr="011CE676">
        <w:rPr>
          <w:rFonts w:asciiTheme="majorHAnsi" w:eastAsia="Times New Roman" w:hAnsiTheme="majorHAnsi" w:cstheme="majorBidi"/>
          <w:sz w:val="20"/>
          <w:szCs w:val="20"/>
        </w:rPr>
        <w:t xml:space="preserve">The main implication of the trends and issues recorded in 2020 is the undeferrable need to build people’s resilience to the multiple shocks they are subject to, some of which, like natural disasters are suspected to aggravate </w:t>
      </w:r>
      <w:r w:rsidR="43BA21B3" w:rsidRPr="011CE676">
        <w:rPr>
          <w:rFonts w:asciiTheme="majorHAnsi" w:eastAsia="Times New Roman" w:hAnsiTheme="majorHAnsi" w:cstheme="majorBidi"/>
          <w:sz w:val="20"/>
          <w:szCs w:val="20"/>
        </w:rPr>
        <w:t xml:space="preserve">the situation </w:t>
      </w:r>
      <w:r w:rsidRPr="011CE676">
        <w:rPr>
          <w:rFonts w:asciiTheme="majorHAnsi" w:eastAsia="Times New Roman" w:hAnsiTheme="majorHAnsi" w:cstheme="majorBidi"/>
          <w:sz w:val="20"/>
          <w:szCs w:val="20"/>
        </w:rPr>
        <w:t xml:space="preserve">with the intensification of climate change. This applies not only as a “sustainable development policy” but also as a “humanitarian response”, as the 700,000 </w:t>
      </w:r>
      <w:r w:rsidR="00877089" w:rsidRPr="011CE676">
        <w:rPr>
          <w:rFonts w:asciiTheme="majorHAnsi" w:eastAsia="Times New Roman" w:hAnsiTheme="majorHAnsi" w:cstheme="majorBidi"/>
          <w:sz w:val="20"/>
          <w:szCs w:val="20"/>
        </w:rPr>
        <w:t>internally displaced persons (</w:t>
      </w:r>
      <w:r w:rsidRPr="011CE676">
        <w:rPr>
          <w:rFonts w:asciiTheme="majorHAnsi" w:eastAsia="Times New Roman" w:hAnsiTheme="majorHAnsi" w:cstheme="majorBidi"/>
          <w:sz w:val="20"/>
          <w:szCs w:val="20"/>
        </w:rPr>
        <w:t>IDPs</w:t>
      </w:r>
      <w:r w:rsidR="00877089" w:rsidRPr="011CE676">
        <w:rPr>
          <w:rFonts w:asciiTheme="majorHAnsi" w:eastAsia="Times New Roman" w:hAnsiTheme="majorHAnsi" w:cstheme="majorBidi"/>
          <w:sz w:val="20"/>
          <w:szCs w:val="20"/>
        </w:rPr>
        <w:t>)</w:t>
      </w:r>
      <w:r w:rsidRPr="011CE676">
        <w:rPr>
          <w:rFonts w:asciiTheme="majorHAnsi" w:eastAsia="Times New Roman" w:hAnsiTheme="majorHAnsi" w:cstheme="majorBidi"/>
          <w:sz w:val="20"/>
          <w:szCs w:val="20"/>
        </w:rPr>
        <w:t xml:space="preserve"> in Cabo Delgado need to develop resilient livelihoods alongside the host communities and cannot remain dependent on humanitarian aid continuously.</w:t>
      </w:r>
    </w:p>
    <w:p w14:paraId="4F041956" w14:textId="77777777" w:rsidR="00D523A4" w:rsidRPr="00F22F32" w:rsidRDefault="00D523A4" w:rsidP="00D523A4">
      <w:pPr>
        <w:jc w:val="both"/>
        <w:rPr>
          <w:rFonts w:asciiTheme="majorHAnsi" w:eastAsia="Times New Roman" w:hAnsiTheme="majorHAnsi" w:cstheme="majorHAnsi"/>
          <w:sz w:val="20"/>
          <w:szCs w:val="20"/>
        </w:rPr>
      </w:pPr>
    </w:p>
    <w:p w14:paraId="5A70EE33" w14:textId="31BCEE3B" w:rsidR="00D523A4" w:rsidRPr="00F22F32" w:rsidRDefault="00D523A4" w:rsidP="00D523A4">
      <w:pPr>
        <w:jc w:val="both"/>
        <w:rPr>
          <w:rFonts w:asciiTheme="majorHAnsi" w:eastAsia="Times New Roman" w:hAnsiTheme="majorHAnsi" w:cstheme="majorHAnsi"/>
          <w:sz w:val="20"/>
          <w:szCs w:val="20"/>
        </w:rPr>
      </w:pPr>
      <w:r w:rsidRPr="00F22F32">
        <w:rPr>
          <w:rFonts w:asciiTheme="majorHAnsi" w:eastAsia="Times New Roman" w:hAnsiTheme="majorHAnsi" w:cstheme="majorHAnsi"/>
          <w:sz w:val="20"/>
          <w:szCs w:val="20"/>
        </w:rPr>
        <w:t xml:space="preserve">Too much of the overall ODA effort is concentrated in the South of the country (especially Maputo City and Province) </w:t>
      </w:r>
      <w:r w:rsidR="005D7586" w:rsidRPr="00F22F32">
        <w:rPr>
          <w:rFonts w:asciiTheme="majorHAnsi" w:eastAsia="Times New Roman" w:hAnsiTheme="majorHAnsi" w:cstheme="majorHAnsi"/>
          <w:sz w:val="20"/>
          <w:szCs w:val="20"/>
        </w:rPr>
        <w:t xml:space="preserve">in spite of the fact that </w:t>
      </w:r>
      <w:r w:rsidRPr="00F22F32">
        <w:rPr>
          <w:rFonts w:asciiTheme="majorHAnsi" w:eastAsia="Times New Roman" w:hAnsiTheme="majorHAnsi" w:cstheme="majorHAnsi"/>
          <w:sz w:val="20"/>
          <w:szCs w:val="20"/>
        </w:rPr>
        <w:t xml:space="preserve">the Centre and </w:t>
      </w:r>
      <w:r w:rsidR="005D7586" w:rsidRPr="00F22F32">
        <w:rPr>
          <w:rFonts w:asciiTheme="majorHAnsi" w:eastAsia="Times New Roman" w:hAnsiTheme="majorHAnsi" w:cstheme="majorHAnsi"/>
          <w:sz w:val="20"/>
          <w:szCs w:val="20"/>
        </w:rPr>
        <w:t xml:space="preserve"> </w:t>
      </w:r>
      <w:r w:rsidRPr="00F22F32">
        <w:rPr>
          <w:rFonts w:asciiTheme="majorHAnsi" w:eastAsia="Times New Roman" w:hAnsiTheme="majorHAnsi" w:cstheme="majorHAnsi"/>
          <w:sz w:val="20"/>
          <w:szCs w:val="20"/>
        </w:rPr>
        <w:t xml:space="preserve">North are more vulnerable to natural disasters and conflict, </w:t>
      </w:r>
      <w:r w:rsidR="00131A9B" w:rsidRPr="00F22F32">
        <w:rPr>
          <w:rFonts w:asciiTheme="majorHAnsi" w:eastAsia="Times New Roman" w:hAnsiTheme="majorHAnsi" w:cstheme="majorHAnsi"/>
          <w:sz w:val="20"/>
          <w:szCs w:val="20"/>
        </w:rPr>
        <w:t>contain</w:t>
      </w:r>
      <w:r w:rsidR="005D7586" w:rsidRPr="00F22F32">
        <w:rPr>
          <w:rFonts w:asciiTheme="majorHAnsi" w:eastAsia="Times New Roman" w:hAnsiTheme="majorHAnsi" w:cstheme="majorHAnsi"/>
          <w:sz w:val="20"/>
          <w:szCs w:val="20"/>
        </w:rPr>
        <w:t xml:space="preserve"> a high proportion of the</w:t>
      </w:r>
      <w:r w:rsidRPr="00F22F32">
        <w:rPr>
          <w:rFonts w:asciiTheme="majorHAnsi" w:eastAsia="Times New Roman" w:hAnsiTheme="majorHAnsi" w:cstheme="majorHAnsi"/>
          <w:sz w:val="20"/>
          <w:szCs w:val="20"/>
        </w:rPr>
        <w:t xml:space="preserve"> population</w:t>
      </w:r>
      <w:r w:rsidR="00352188" w:rsidRPr="00F22F32">
        <w:rPr>
          <w:rFonts w:asciiTheme="majorHAnsi" w:eastAsia="Times New Roman" w:hAnsiTheme="majorHAnsi" w:cstheme="majorHAnsi"/>
          <w:sz w:val="20"/>
          <w:szCs w:val="20"/>
        </w:rPr>
        <w:t xml:space="preserve"> and </w:t>
      </w:r>
      <w:r w:rsidRPr="00F22F32">
        <w:rPr>
          <w:rFonts w:asciiTheme="majorHAnsi" w:eastAsia="Times New Roman" w:hAnsiTheme="majorHAnsi" w:cstheme="majorHAnsi"/>
          <w:sz w:val="20"/>
          <w:szCs w:val="20"/>
        </w:rPr>
        <w:t xml:space="preserve">hold greater agricultural potential </w:t>
      </w:r>
      <w:r w:rsidR="00352188" w:rsidRPr="00F22F32">
        <w:rPr>
          <w:rFonts w:asciiTheme="majorHAnsi" w:eastAsia="Times New Roman" w:hAnsiTheme="majorHAnsi" w:cstheme="majorHAnsi"/>
          <w:sz w:val="20"/>
          <w:szCs w:val="20"/>
        </w:rPr>
        <w:t xml:space="preserve">yet </w:t>
      </w:r>
      <w:r w:rsidRPr="00F22F32">
        <w:rPr>
          <w:rFonts w:asciiTheme="majorHAnsi" w:eastAsia="Times New Roman" w:hAnsiTheme="majorHAnsi" w:cstheme="majorHAnsi"/>
          <w:sz w:val="20"/>
          <w:szCs w:val="20"/>
        </w:rPr>
        <w:t>receive lower shares of investment and public spending.</w:t>
      </w:r>
    </w:p>
    <w:p w14:paraId="396EF6C4" w14:textId="380C288C" w:rsidR="00D523A4" w:rsidRPr="00F22F32" w:rsidRDefault="00D523A4" w:rsidP="00D523A4">
      <w:pPr>
        <w:jc w:val="both"/>
        <w:rPr>
          <w:rFonts w:asciiTheme="majorHAnsi" w:eastAsia="Times New Roman" w:hAnsiTheme="majorHAnsi" w:cstheme="majorHAnsi"/>
          <w:sz w:val="20"/>
          <w:szCs w:val="20"/>
        </w:rPr>
      </w:pPr>
      <w:r w:rsidRPr="00F22F32">
        <w:rPr>
          <w:rFonts w:asciiTheme="majorHAnsi" w:eastAsia="Times New Roman" w:hAnsiTheme="majorHAnsi" w:cstheme="majorHAnsi"/>
          <w:sz w:val="20"/>
          <w:szCs w:val="20"/>
        </w:rPr>
        <w:t>The international community should apply contextual knowledge from both the local population and experts with long experience in the country, rather than simply following decontextualized topical priorities, to assist the Government go beyond a perpetual crisis-mode</w:t>
      </w:r>
      <w:r w:rsidR="00FE3772" w:rsidRPr="00F22F32">
        <w:rPr>
          <w:rFonts w:asciiTheme="majorHAnsi" w:eastAsia="Times New Roman" w:hAnsiTheme="majorHAnsi" w:cstheme="majorHAnsi"/>
          <w:sz w:val="20"/>
          <w:szCs w:val="20"/>
        </w:rPr>
        <w:t xml:space="preserve"> </w:t>
      </w:r>
      <w:r w:rsidRPr="00F22F32">
        <w:rPr>
          <w:rFonts w:asciiTheme="majorHAnsi" w:eastAsia="Times New Roman" w:hAnsiTheme="majorHAnsi" w:cstheme="majorHAnsi"/>
          <w:sz w:val="20"/>
          <w:szCs w:val="20"/>
        </w:rPr>
        <w:t>and recover its former long-term policy focus on sustainability, avoiding donor fragmentation, duplication and short-termism which undermines the capacity of the Government and the public administration to implement reforms and to design coherent, effective and sustainable policies.</w:t>
      </w:r>
    </w:p>
    <w:p w14:paraId="70FD87AE" w14:textId="77777777" w:rsidR="00D523A4" w:rsidRPr="00F22F32" w:rsidRDefault="00D523A4" w:rsidP="00D523A4">
      <w:pPr>
        <w:jc w:val="both"/>
        <w:rPr>
          <w:rFonts w:asciiTheme="majorHAnsi" w:eastAsia="Times New Roman" w:hAnsiTheme="majorHAnsi" w:cstheme="majorHAnsi"/>
          <w:sz w:val="20"/>
          <w:szCs w:val="20"/>
        </w:rPr>
      </w:pPr>
    </w:p>
    <w:p w14:paraId="494B0D2E" w14:textId="77777777" w:rsidR="00D523A4" w:rsidRPr="00F22F32" w:rsidRDefault="00D523A4" w:rsidP="00D523A4">
      <w:pPr>
        <w:spacing w:line="252" w:lineRule="auto"/>
        <w:jc w:val="both"/>
        <w:rPr>
          <w:rFonts w:asciiTheme="majorHAnsi" w:eastAsia="Times New Roman" w:hAnsiTheme="majorHAnsi" w:cstheme="majorHAnsi"/>
          <w:b/>
          <w:bCs/>
          <w:sz w:val="20"/>
          <w:szCs w:val="20"/>
        </w:rPr>
      </w:pPr>
      <w:r w:rsidRPr="00F22F32">
        <w:rPr>
          <w:rFonts w:asciiTheme="majorHAnsi" w:eastAsia="Times New Roman" w:hAnsiTheme="majorHAnsi" w:cstheme="majorHAnsi"/>
          <w:b/>
          <w:bCs/>
          <w:sz w:val="20"/>
          <w:szCs w:val="20"/>
        </w:rPr>
        <w:t>Major implications of contextual developments for UN development support in the year, including UNCT configuration</w:t>
      </w:r>
    </w:p>
    <w:p w14:paraId="5F4577FF" w14:textId="77777777" w:rsidR="00D523A4" w:rsidRPr="00F22F32" w:rsidRDefault="00D523A4" w:rsidP="00D523A4">
      <w:pPr>
        <w:jc w:val="both"/>
        <w:rPr>
          <w:rFonts w:asciiTheme="majorHAnsi" w:hAnsiTheme="majorHAnsi" w:cstheme="majorHAnsi"/>
          <w:sz w:val="20"/>
          <w:szCs w:val="20"/>
        </w:rPr>
      </w:pPr>
    </w:p>
    <w:p w14:paraId="30EF9A92" w14:textId="73D22A37" w:rsidR="00D523A4" w:rsidRPr="00F22F32" w:rsidRDefault="00D523A4" w:rsidP="00D523A4">
      <w:pPr>
        <w:jc w:val="both"/>
        <w:rPr>
          <w:rFonts w:asciiTheme="majorHAnsi" w:hAnsiTheme="majorHAnsi" w:cstheme="majorHAnsi"/>
          <w:sz w:val="20"/>
          <w:szCs w:val="20"/>
        </w:rPr>
      </w:pPr>
      <w:r w:rsidRPr="00F22F32">
        <w:rPr>
          <w:rFonts w:asciiTheme="majorHAnsi" w:hAnsiTheme="majorHAnsi" w:cstheme="majorHAnsi"/>
          <w:sz w:val="20"/>
          <w:szCs w:val="20"/>
        </w:rPr>
        <w:t xml:space="preserve">More focus should go to the family and livelihood level, beyond the individual as a target beneficiary of public services, adopting community-based </w:t>
      </w:r>
      <w:r w:rsidRPr="00F22F32">
        <w:rPr>
          <w:rFonts w:asciiTheme="majorHAnsi" w:hAnsiTheme="majorHAnsi" w:cstheme="majorHAnsi"/>
          <w:sz w:val="20"/>
          <w:szCs w:val="20"/>
        </w:rPr>
        <w:t>development approaches. Three out of four Mozambicans live off the rural economy and they work for themselves or for their family (unremunerated), carrying a burden of household dependency. Investing in families and livelihoods require</w:t>
      </w:r>
      <w:r w:rsidR="00C2758B" w:rsidRPr="00F22F32">
        <w:rPr>
          <w:rFonts w:asciiTheme="majorHAnsi" w:hAnsiTheme="majorHAnsi" w:cstheme="majorHAnsi"/>
          <w:sz w:val="20"/>
          <w:szCs w:val="20"/>
        </w:rPr>
        <w:t xml:space="preserve"> </w:t>
      </w:r>
      <w:r w:rsidRPr="00F22F32">
        <w:rPr>
          <w:rFonts w:asciiTheme="majorHAnsi" w:hAnsiTheme="majorHAnsi" w:cstheme="majorHAnsi"/>
          <w:sz w:val="20"/>
          <w:szCs w:val="20"/>
        </w:rPr>
        <w:t>tailored approaches that understand the dynamics of the informal sector (in both rural and urban areas). When families increase their production and manage to save or buy assets like livestock or insurance, they develop coping mechanisms to deal with shocks without becoming dependent on aid. However, a decreasing percentage of ODA is targeted to productive functions of the household and the resilience of livelihoods.</w:t>
      </w:r>
    </w:p>
    <w:p w14:paraId="716D7E2E" w14:textId="77777777" w:rsidR="00D523A4" w:rsidRPr="00F22F32" w:rsidRDefault="00D523A4" w:rsidP="00D523A4">
      <w:pPr>
        <w:jc w:val="both"/>
        <w:rPr>
          <w:rFonts w:asciiTheme="majorHAnsi" w:hAnsiTheme="majorHAnsi" w:cstheme="majorHAnsi"/>
          <w:sz w:val="20"/>
          <w:szCs w:val="20"/>
        </w:rPr>
      </w:pPr>
    </w:p>
    <w:p w14:paraId="55B87FB8" w14:textId="2E27D94B" w:rsidR="00D523A4" w:rsidRPr="00F22F32" w:rsidRDefault="00D523A4" w:rsidP="011CE676">
      <w:pPr>
        <w:jc w:val="both"/>
        <w:rPr>
          <w:rFonts w:asciiTheme="majorHAnsi" w:hAnsiTheme="majorHAnsi" w:cstheme="majorBidi"/>
          <w:sz w:val="20"/>
          <w:szCs w:val="20"/>
        </w:rPr>
      </w:pPr>
      <w:r w:rsidRPr="011CE676">
        <w:rPr>
          <w:rFonts w:asciiTheme="majorHAnsi" w:hAnsiTheme="majorHAnsi" w:cstheme="majorBidi"/>
          <w:sz w:val="20"/>
          <w:szCs w:val="20"/>
        </w:rPr>
        <w:t xml:space="preserve">Development interventions should adopt a longitudinal approach where household capabilities are tracked over time rather than resorting </w:t>
      </w:r>
      <w:r w:rsidR="000B6E35" w:rsidRPr="011CE676">
        <w:rPr>
          <w:rFonts w:asciiTheme="majorHAnsi" w:hAnsiTheme="majorHAnsi" w:cstheme="majorBidi"/>
          <w:sz w:val="20"/>
          <w:szCs w:val="20"/>
        </w:rPr>
        <w:t xml:space="preserve">to </w:t>
      </w:r>
      <w:r w:rsidRPr="011CE676">
        <w:rPr>
          <w:rFonts w:asciiTheme="majorHAnsi" w:hAnsiTheme="majorHAnsi" w:cstheme="majorBidi"/>
          <w:sz w:val="20"/>
          <w:szCs w:val="20"/>
        </w:rPr>
        <w:t>static counts of anonymous individuals who are continuously counted and double counted as they become affected by various disasters without tracking progress in building their resilience.  Areas</w:t>
      </w:r>
      <w:r w:rsidR="536FF7F7" w:rsidRPr="011CE676">
        <w:rPr>
          <w:rFonts w:asciiTheme="majorHAnsi" w:hAnsiTheme="majorHAnsi" w:cstheme="majorBidi"/>
          <w:sz w:val="20"/>
          <w:szCs w:val="20"/>
        </w:rPr>
        <w:t xml:space="preserve"> of </w:t>
      </w:r>
      <w:r w:rsidRPr="011CE676">
        <w:rPr>
          <w:rFonts w:asciiTheme="majorHAnsi" w:hAnsiTheme="majorHAnsi" w:cstheme="majorBidi"/>
          <w:sz w:val="20"/>
          <w:szCs w:val="20"/>
        </w:rPr>
        <w:t>UNCT</w:t>
      </w:r>
      <w:r w:rsidR="315D8865" w:rsidRPr="011CE676">
        <w:rPr>
          <w:rFonts w:asciiTheme="majorHAnsi" w:hAnsiTheme="majorHAnsi" w:cstheme="majorBidi"/>
          <w:sz w:val="20"/>
          <w:szCs w:val="20"/>
        </w:rPr>
        <w:t xml:space="preserve"> focus should</w:t>
      </w:r>
      <w:r w:rsidRPr="011CE676">
        <w:rPr>
          <w:rFonts w:asciiTheme="majorHAnsi" w:hAnsiTheme="majorHAnsi" w:cstheme="majorBidi"/>
          <w:sz w:val="20"/>
          <w:szCs w:val="20"/>
        </w:rPr>
        <w:t xml:space="preserve">  include occupational, entrepreneurial and employment promotion, capacity development programmes like technical and vocational training, support to </w:t>
      </w:r>
      <w:r w:rsidR="0081089F" w:rsidRPr="011CE676">
        <w:rPr>
          <w:rFonts w:asciiTheme="majorHAnsi" w:hAnsiTheme="majorHAnsi" w:cstheme="majorBidi"/>
          <w:sz w:val="20"/>
          <w:szCs w:val="20"/>
        </w:rPr>
        <w:t>small and medium enterprises (</w:t>
      </w:r>
      <w:r w:rsidRPr="011CE676">
        <w:rPr>
          <w:rFonts w:asciiTheme="majorHAnsi" w:hAnsiTheme="majorHAnsi" w:cstheme="majorBidi"/>
          <w:sz w:val="20"/>
          <w:szCs w:val="20"/>
        </w:rPr>
        <w:t>SME</w:t>
      </w:r>
      <w:r w:rsidR="0081089F" w:rsidRPr="011CE676">
        <w:rPr>
          <w:rFonts w:asciiTheme="majorHAnsi" w:hAnsiTheme="majorHAnsi" w:cstheme="majorBidi"/>
          <w:sz w:val="20"/>
          <w:szCs w:val="20"/>
        </w:rPr>
        <w:t>)</w:t>
      </w:r>
      <w:r w:rsidRPr="011CE676">
        <w:rPr>
          <w:rFonts w:asciiTheme="majorHAnsi" w:hAnsiTheme="majorHAnsi" w:cstheme="majorBidi"/>
          <w:sz w:val="20"/>
          <w:szCs w:val="20"/>
        </w:rPr>
        <w:t xml:space="preserve"> development, including both the formal and informal sectors, developing access to credit leveraging mobile technologies (currently mobile technologies are only used for payments thus benefit mostly consumers rather than producers) and support to leverage climate financing opportunities to develop the green and blue economies, </w:t>
      </w:r>
      <w:r w:rsidR="09188573" w:rsidRPr="0F957377">
        <w:rPr>
          <w:rFonts w:asciiTheme="majorHAnsi" w:hAnsiTheme="majorHAnsi" w:cstheme="majorBidi"/>
          <w:sz w:val="20"/>
          <w:szCs w:val="20"/>
        </w:rPr>
        <w:t>UN</w:t>
      </w:r>
      <w:r w:rsidRPr="011CE676">
        <w:rPr>
          <w:rFonts w:asciiTheme="majorHAnsi" w:hAnsiTheme="majorHAnsi" w:cstheme="majorBidi"/>
          <w:sz w:val="20"/>
          <w:szCs w:val="20"/>
        </w:rPr>
        <w:t xml:space="preserve"> projects to provide weather and price information to local producers constitute a best practice on this.</w:t>
      </w:r>
    </w:p>
    <w:p w14:paraId="2C267F90" w14:textId="77777777" w:rsidR="00D523A4" w:rsidRPr="00F22F32" w:rsidRDefault="00D523A4" w:rsidP="00D523A4">
      <w:pPr>
        <w:jc w:val="both"/>
        <w:rPr>
          <w:rFonts w:asciiTheme="majorHAnsi" w:hAnsiTheme="majorHAnsi" w:cstheme="majorHAnsi"/>
          <w:sz w:val="20"/>
          <w:szCs w:val="20"/>
        </w:rPr>
      </w:pPr>
    </w:p>
    <w:p w14:paraId="3F03ECA8" w14:textId="258E4652" w:rsidR="00D523A4" w:rsidRPr="00F22F32" w:rsidRDefault="00D523A4" w:rsidP="00D523A4">
      <w:pPr>
        <w:jc w:val="both"/>
        <w:rPr>
          <w:rFonts w:asciiTheme="majorHAnsi" w:hAnsiTheme="majorHAnsi" w:cstheme="majorBidi"/>
          <w:sz w:val="20"/>
          <w:szCs w:val="20"/>
        </w:rPr>
      </w:pPr>
      <w:r w:rsidRPr="0F957377">
        <w:rPr>
          <w:rFonts w:asciiTheme="majorHAnsi" w:hAnsiTheme="majorHAnsi" w:cstheme="majorBidi"/>
          <w:sz w:val="20"/>
          <w:szCs w:val="20"/>
        </w:rPr>
        <w:t>Moreover, it is paramount to go beyond a 1-year horizon in humanitarian and action t</w:t>
      </w:r>
      <w:r w:rsidR="00FF668F" w:rsidRPr="0F957377">
        <w:rPr>
          <w:rFonts w:asciiTheme="majorHAnsi" w:hAnsiTheme="majorHAnsi" w:cstheme="majorBidi"/>
          <w:sz w:val="20"/>
          <w:szCs w:val="20"/>
        </w:rPr>
        <w:t>o</w:t>
      </w:r>
      <w:r w:rsidRPr="0F957377">
        <w:rPr>
          <w:rFonts w:asciiTheme="majorHAnsi" w:hAnsiTheme="majorHAnsi" w:cstheme="majorBidi"/>
          <w:sz w:val="20"/>
          <w:szCs w:val="20"/>
        </w:rPr>
        <w:t xml:space="preserve"> support integrated long-term sustainable development policy led by the Government, as it vested with the legitimacy from the recent elections held and it is accountable to the people. The operating models of the various entities in the UN development system should be become more agile, for example by developing the corporate capability to outsource and deploy local capacity timeously, leveraging local skills.</w:t>
      </w:r>
    </w:p>
    <w:p w14:paraId="2F79C34C" w14:textId="77777777" w:rsidR="00D523A4" w:rsidRPr="00F22F32" w:rsidRDefault="00D523A4" w:rsidP="00D523A4">
      <w:pPr>
        <w:jc w:val="both"/>
        <w:rPr>
          <w:rFonts w:asciiTheme="majorHAnsi" w:hAnsiTheme="majorHAnsi" w:cstheme="majorHAnsi"/>
          <w:sz w:val="20"/>
          <w:szCs w:val="20"/>
        </w:rPr>
      </w:pPr>
    </w:p>
    <w:p w14:paraId="149AD169" w14:textId="1743F17C" w:rsidR="00D523A4" w:rsidRPr="00F22F32" w:rsidRDefault="00D523A4" w:rsidP="00D523A4">
      <w:pPr>
        <w:jc w:val="both"/>
        <w:rPr>
          <w:rFonts w:asciiTheme="majorHAnsi" w:hAnsiTheme="majorHAnsi" w:cstheme="majorBidi"/>
          <w:sz w:val="20"/>
          <w:szCs w:val="20"/>
        </w:rPr>
      </w:pPr>
      <w:r w:rsidRPr="0F957377">
        <w:rPr>
          <w:rFonts w:asciiTheme="majorHAnsi" w:hAnsiTheme="majorHAnsi" w:cstheme="majorBidi"/>
          <w:sz w:val="20"/>
          <w:szCs w:val="20"/>
        </w:rPr>
        <w:t xml:space="preserve">In addition, the UNCT should promote capacity development of the institutional system at the local level (district councils, district administrators) as local participation and representation is more inclusive and provides a “social stability” dividend. </w:t>
      </w:r>
    </w:p>
    <w:p w14:paraId="330742E9" w14:textId="77777777" w:rsidR="00D523A4" w:rsidRPr="00F22F32" w:rsidRDefault="00D523A4" w:rsidP="00D523A4">
      <w:pPr>
        <w:jc w:val="both"/>
        <w:rPr>
          <w:rFonts w:asciiTheme="majorHAnsi" w:hAnsiTheme="majorHAnsi" w:cstheme="majorHAnsi"/>
          <w:sz w:val="20"/>
          <w:szCs w:val="20"/>
        </w:rPr>
      </w:pPr>
    </w:p>
    <w:p w14:paraId="12605D99" w14:textId="4BDC036A" w:rsidR="00D523A4" w:rsidRPr="00F22F32" w:rsidRDefault="00D523A4" w:rsidP="00D523A4">
      <w:pPr>
        <w:jc w:val="both"/>
        <w:rPr>
          <w:rFonts w:asciiTheme="majorHAnsi" w:hAnsiTheme="majorHAnsi" w:cstheme="majorHAnsi"/>
          <w:sz w:val="20"/>
          <w:szCs w:val="20"/>
        </w:rPr>
      </w:pPr>
      <w:r w:rsidRPr="00F22F32">
        <w:rPr>
          <w:rFonts w:asciiTheme="majorHAnsi" w:hAnsiTheme="majorHAnsi" w:cstheme="majorHAnsi"/>
          <w:sz w:val="20"/>
          <w:szCs w:val="20"/>
        </w:rPr>
        <w:lastRenderedPageBreak/>
        <w:t xml:space="preserve">In areas affected by humanitarian crises like Cabo Delgado under the current conflict and provinces affected by natural disasters there should be an explicit focus on linking humanitarian response to regular services provided within the national </w:t>
      </w:r>
      <w:r w:rsidRPr="00F22F32">
        <w:rPr>
          <w:rFonts w:asciiTheme="majorHAnsi" w:hAnsiTheme="majorHAnsi" w:cstheme="majorHAnsi"/>
          <w:sz w:val="20"/>
          <w:szCs w:val="20"/>
        </w:rPr>
        <w:t>institutional framework, as this creates sustainability, and link</w:t>
      </w:r>
      <w:r w:rsidR="00C302CD" w:rsidRPr="00F22F32">
        <w:rPr>
          <w:rFonts w:asciiTheme="majorHAnsi" w:hAnsiTheme="majorHAnsi" w:cstheme="majorHAnsi"/>
          <w:sz w:val="20"/>
          <w:szCs w:val="20"/>
        </w:rPr>
        <w:t>s</w:t>
      </w:r>
      <w:r w:rsidRPr="00F22F32">
        <w:rPr>
          <w:rFonts w:asciiTheme="majorHAnsi" w:hAnsiTheme="majorHAnsi" w:cstheme="majorHAnsi"/>
          <w:sz w:val="20"/>
          <w:szCs w:val="20"/>
        </w:rPr>
        <w:t xml:space="preserve"> the humanitarian response to national planning and budgeting with a long-term orientation (a holistic, integrated and systematic sustainable development approach).</w:t>
      </w:r>
    </w:p>
    <w:p w14:paraId="14A095FB" w14:textId="77777777" w:rsidR="005B27FF" w:rsidRDefault="005B27FF" w:rsidP="00E17EAB">
      <w:pPr>
        <w:rPr>
          <w:rFonts w:asciiTheme="majorHAnsi" w:hAnsiTheme="majorHAnsi" w:cstheme="majorHAnsi"/>
          <w:sz w:val="20"/>
          <w:szCs w:val="20"/>
        </w:rPr>
        <w:sectPr w:rsidR="005B27FF" w:rsidSect="005B27FF">
          <w:type w:val="continuous"/>
          <w:pgSz w:w="12240" w:h="15840"/>
          <w:pgMar w:top="1440" w:right="1440" w:bottom="1440" w:left="1440" w:header="720" w:footer="720" w:gutter="0"/>
          <w:pgNumType w:start="0"/>
          <w:cols w:num="2" w:space="720"/>
          <w:titlePg/>
          <w:docGrid w:linePitch="360"/>
        </w:sectPr>
      </w:pPr>
    </w:p>
    <w:p w14:paraId="61D674F3" w14:textId="41C744A0" w:rsidR="00B8431C" w:rsidRPr="00F22F32" w:rsidRDefault="00B8431C" w:rsidP="00E17EAB">
      <w:pPr>
        <w:rPr>
          <w:rFonts w:asciiTheme="majorHAnsi" w:hAnsiTheme="majorHAnsi" w:cstheme="majorHAnsi"/>
          <w:sz w:val="20"/>
          <w:szCs w:val="20"/>
        </w:rPr>
      </w:pPr>
    </w:p>
    <w:p w14:paraId="7CF19A1E" w14:textId="5BB27BE4" w:rsidR="00B8431C" w:rsidRPr="00F22F32" w:rsidRDefault="00B8431C" w:rsidP="00E17EAB">
      <w:pPr>
        <w:rPr>
          <w:rFonts w:asciiTheme="majorHAnsi" w:hAnsiTheme="majorHAnsi" w:cstheme="majorHAnsi"/>
        </w:rPr>
      </w:pPr>
    </w:p>
    <w:p w14:paraId="098CBB43" w14:textId="01C5AABF" w:rsidR="00B8431C" w:rsidRPr="00F22F32" w:rsidRDefault="00B8431C" w:rsidP="00B8431C">
      <w:pPr>
        <w:pStyle w:val="Heading1"/>
        <w:numPr>
          <w:ilvl w:val="0"/>
          <w:numId w:val="1"/>
        </w:numPr>
        <w:rPr>
          <w:rFonts w:cstheme="majorHAnsi"/>
          <w:b/>
          <w:bCs/>
          <w:color w:val="auto"/>
          <w:w w:val="95"/>
          <w:sz w:val="36"/>
          <w:szCs w:val="36"/>
        </w:rPr>
      </w:pPr>
      <w:bookmarkStart w:id="10" w:name="_Toc71207067"/>
      <w:r w:rsidRPr="00F22F32">
        <w:rPr>
          <w:rFonts w:cstheme="majorHAnsi"/>
          <w:b/>
          <w:bCs/>
          <w:color w:val="auto"/>
          <w:w w:val="95"/>
          <w:sz w:val="36"/>
          <w:szCs w:val="36"/>
        </w:rPr>
        <w:t>CHAPTER 2</w:t>
      </w:r>
      <w:r w:rsidR="00663EA9" w:rsidRPr="00F22F32">
        <w:rPr>
          <w:rFonts w:cstheme="majorHAnsi"/>
          <w:b/>
          <w:bCs/>
          <w:color w:val="auto"/>
          <w:w w:val="95"/>
          <w:sz w:val="36"/>
          <w:szCs w:val="36"/>
        </w:rPr>
        <w:t>: UN development system support to national development priorities throughout the Cooperation Framework</w:t>
      </w:r>
      <w:bookmarkEnd w:id="10"/>
    </w:p>
    <w:p w14:paraId="4C569EB2" w14:textId="77777777" w:rsidR="00BA5378" w:rsidRDefault="00BA5378" w:rsidP="00663EA9">
      <w:pPr>
        <w:pStyle w:val="Heading3"/>
        <w:numPr>
          <w:ilvl w:val="1"/>
          <w:numId w:val="1"/>
        </w:numPr>
        <w:rPr>
          <w:rFonts w:cstheme="majorHAnsi"/>
          <w:i/>
          <w:iCs/>
          <w:color w:val="auto"/>
        </w:rPr>
        <w:sectPr w:rsidR="00BA5378" w:rsidSect="005B27FF">
          <w:type w:val="continuous"/>
          <w:pgSz w:w="12240" w:h="15840"/>
          <w:pgMar w:top="1440" w:right="1440" w:bottom="1440" w:left="1440" w:header="720" w:footer="720" w:gutter="0"/>
          <w:pgNumType w:start="0"/>
          <w:cols w:space="720"/>
          <w:titlePg/>
          <w:docGrid w:linePitch="360"/>
        </w:sectPr>
      </w:pPr>
      <w:bookmarkStart w:id="11" w:name="_Toc71207068"/>
    </w:p>
    <w:p w14:paraId="1AACE7BF" w14:textId="3B0BBCCC" w:rsidR="005762CA" w:rsidRPr="00F22F32" w:rsidRDefault="00E83152" w:rsidP="00663EA9">
      <w:pPr>
        <w:pStyle w:val="Heading3"/>
        <w:numPr>
          <w:ilvl w:val="1"/>
          <w:numId w:val="1"/>
        </w:numPr>
        <w:rPr>
          <w:rFonts w:cstheme="majorHAnsi"/>
          <w:i/>
          <w:iCs/>
          <w:color w:val="auto"/>
        </w:rPr>
      </w:pPr>
      <w:r w:rsidRPr="00F22F32">
        <w:rPr>
          <w:rFonts w:cstheme="majorHAnsi"/>
          <w:i/>
          <w:iCs/>
          <w:color w:val="auto"/>
        </w:rPr>
        <w:t>Overview of Cooperation Framework Results</w:t>
      </w:r>
      <w:bookmarkEnd w:id="11"/>
    </w:p>
    <w:p w14:paraId="5C3AADAE" w14:textId="052CF12F" w:rsidR="00681BCE" w:rsidRPr="00F22F32" w:rsidRDefault="00681BCE" w:rsidP="00681BCE">
      <w:pPr>
        <w:rPr>
          <w:rFonts w:asciiTheme="majorHAnsi" w:hAnsiTheme="majorHAnsi" w:cstheme="majorHAnsi"/>
        </w:rPr>
      </w:pPr>
    </w:p>
    <w:p w14:paraId="6FA305D6" w14:textId="49004D58" w:rsidR="00DD7A9B" w:rsidRPr="00086EE1" w:rsidRDefault="00DD7A9B" w:rsidP="001D36D4">
      <w:pPr>
        <w:jc w:val="both"/>
        <w:rPr>
          <w:rFonts w:asciiTheme="majorHAnsi" w:hAnsiTheme="majorHAnsi" w:cstheme="majorHAnsi"/>
          <w:sz w:val="20"/>
          <w:szCs w:val="20"/>
        </w:rPr>
      </w:pPr>
      <w:r w:rsidRPr="00086EE1">
        <w:rPr>
          <w:rFonts w:asciiTheme="majorHAnsi" w:hAnsiTheme="majorHAnsi" w:cstheme="majorHAnsi"/>
          <w:sz w:val="20"/>
          <w:szCs w:val="20"/>
        </w:rPr>
        <w:t>During 2020, the UN supported the analysis of  Integrated Food Security Phase Classification (IPC) in Mozambique, providing decision-makers with a rigorous, evidence- and consensus-based analysis of food insecurity and acute malnutrition situations, to inform emergency responses, as well as medium- and long-term policy and programming. Results from the most recent IPC conducted, suggests that 2.7 million people faced high levels of acute food insecurity (IPC Phase 3 or above) in rural (approx. 1.9 million) and urban (0.8 million) areas across the country between October and December 2020. The number of people facing high acute food insecurity (IPC Phase 3 or above) was estimated to increase to 2.9 million people in rural (approx. 2.1 million) and urban (0.8 million) areas across the country between January and March 2021.</w:t>
      </w:r>
    </w:p>
    <w:p w14:paraId="423451F3" w14:textId="6C389C22" w:rsidR="00DD7A9B" w:rsidRPr="00086EE1" w:rsidRDefault="00DD7A9B" w:rsidP="001D36D4">
      <w:pPr>
        <w:jc w:val="both"/>
        <w:rPr>
          <w:rFonts w:asciiTheme="majorHAnsi" w:hAnsiTheme="majorHAnsi" w:cstheme="majorHAnsi"/>
          <w:sz w:val="20"/>
          <w:szCs w:val="20"/>
        </w:rPr>
      </w:pPr>
    </w:p>
    <w:p w14:paraId="52CAC1C8" w14:textId="3B7F54AA" w:rsidR="00DD7A9B" w:rsidRPr="00086EE1" w:rsidRDefault="00DD7A9B" w:rsidP="001D36D4">
      <w:pPr>
        <w:jc w:val="both"/>
        <w:rPr>
          <w:rFonts w:asciiTheme="majorHAnsi" w:hAnsiTheme="majorHAnsi" w:cstheme="majorHAnsi"/>
          <w:sz w:val="20"/>
          <w:szCs w:val="20"/>
        </w:rPr>
      </w:pPr>
      <w:r w:rsidRPr="00086EE1">
        <w:rPr>
          <w:rFonts w:asciiTheme="majorHAnsi" w:hAnsiTheme="majorHAnsi" w:cstheme="majorHAnsi"/>
          <w:sz w:val="20"/>
          <w:szCs w:val="20"/>
        </w:rPr>
        <w:t>Despite the challenges posed by COVID-19, UN agencies continued its support to the Ministry of Education and Human Development (MINEDH), the Ministry of Gender and Social Action (MGCAS) and other partners, including the National Early Childhood Development Network (R-DPI), to provide early childhood education services.</w:t>
      </w:r>
    </w:p>
    <w:p w14:paraId="1EDFD9FF" w14:textId="5BF60E1C" w:rsidR="00DD7A9B" w:rsidRPr="00086EE1" w:rsidRDefault="00DD7A9B" w:rsidP="001D36D4">
      <w:pPr>
        <w:jc w:val="both"/>
        <w:rPr>
          <w:rFonts w:asciiTheme="majorHAnsi" w:hAnsiTheme="majorHAnsi" w:cstheme="majorHAnsi"/>
          <w:sz w:val="20"/>
          <w:szCs w:val="20"/>
        </w:rPr>
      </w:pPr>
    </w:p>
    <w:p w14:paraId="0988332C" w14:textId="336682D6" w:rsidR="00DD7A9B" w:rsidRPr="00086EE1" w:rsidRDefault="002F5FDF" w:rsidP="03239B7C">
      <w:pPr>
        <w:jc w:val="both"/>
        <w:rPr>
          <w:rFonts w:asciiTheme="majorHAnsi" w:hAnsiTheme="majorHAnsi" w:cstheme="majorBidi"/>
          <w:sz w:val="20"/>
          <w:szCs w:val="20"/>
        </w:rPr>
      </w:pPr>
      <w:r w:rsidRPr="00086EE1">
        <w:rPr>
          <w:rFonts w:asciiTheme="majorHAnsi" w:hAnsiTheme="majorHAnsi" w:cstheme="majorBidi"/>
          <w:sz w:val="20"/>
          <w:szCs w:val="20"/>
        </w:rPr>
        <w:t>The UN contributed t</w:t>
      </w:r>
      <w:r w:rsidR="00DD7A9B" w:rsidRPr="00086EE1">
        <w:rPr>
          <w:rFonts w:asciiTheme="majorHAnsi" w:hAnsiTheme="majorHAnsi" w:cstheme="majorBidi"/>
          <w:sz w:val="20"/>
          <w:szCs w:val="20"/>
        </w:rPr>
        <w:t>o strengthening the democratic process, service delivery for all segments of society, protection and enjoyment of human rights, inclusion and participation in democratic process and ensuring that no one is left behind.</w:t>
      </w:r>
    </w:p>
    <w:p w14:paraId="4C795CCA" w14:textId="337769E2" w:rsidR="03239B7C" w:rsidRPr="00086EE1" w:rsidRDefault="03239B7C" w:rsidP="03239B7C">
      <w:pPr>
        <w:jc w:val="both"/>
        <w:rPr>
          <w:sz w:val="20"/>
          <w:szCs w:val="20"/>
        </w:rPr>
      </w:pPr>
    </w:p>
    <w:p w14:paraId="6E2F6CE3" w14:textId="1112EEB3" w:rsidR="7CCB71F0" w:rsidRPr="00086EE1" w:rsidRDefault="7CCB71F0" w:rsidP="000D1B83">
      <w:pPr>
        <w:jc w:val="both"/>
        <w:rPr>
          <w:rFonts w:ascii="Calibri Light" w:eastAsia="Calibri Light" w:hAnsi="Calibri Light" w:cs="Calibri Light"/>
          <w:sz w:val="20"/>
          <w:szCs w:val="20"/>
        </w:rPr>
      </w:pPr>
      <w:r w:rsidRPr="00086EE1">
        <w:rPr>
          <w:rFonts w:ascii="Calibri Light" w:eastAsia="Calibri Light" w:hAnsi="Calibri Light" w:cs="Calibri Light"/>
          <w:sz w:val="20"/>
          <w:szCs w:val="20"/>
        </w:rPr>
        <w:t xml:space="preserve">The response to COVID-19 has been integrated in current ongoing development programs under the </w:t>
      </w:r>
      <w:r w:rsidRPr="00086EE1">
        <w:rPr>
          <w:rFonts w:ascii="Calibri Light" w:eastAsia="Calibri Light" w:hAnsi="Calibri Light" w:cs="Calibri Light"/>
          <w:sz w:val="20"/>
          <w:szCs w:val="20"/>
        </w:rPr>
        <w:t xml:space="preserve">UNDAF. To this end, 13% of development programs have redirected their funds to support the COVID-19 Response. Mozambique has slightly improved its reporting rate, compared to previous quarters. In the first quarter, Mozambique was categorized among countries with the lowest reporting rate (less than 33%), however, improvements have been made such that Mozambique currently scores as medium (defined as a report rate between 34%-66%.) It is also important to note that the Macroeconomic Response Pillar (Pillar 4) is not currently being reported on.   </w:t>
      </w:r>
    </w:p>
    <w:p w14:paraId="33EBFC99" w14:textId="300C3CF8" w:rsidR="03239B7C" w:rsidRPr="00086EE1" w:rsidRDefault="03239B7C" w:rsidP="000D1B83">
      <w:pPr>
        <w:jc w:val="both"/>
        <w:rPr>
          <w:rFonts w:ascii="Calibri Light" w:eastAsia="Calibri Light" w:hAnsi="Calibri Light" w:cs="Calibri Light"/>
          <w:sz w:val="20"/>
          <w:szCs w:val="20"/>
        </w:rPr>
      </w:pPr>
    </w:p>
    <w:p w14:paraId="39B1BF3D" w14:textId="67285E7D" w:rsidR="7CCB71F0" w:rsidRPr="00086EE1" w:rsidRDefault="7CCB71F0" w:rsidP="000D1B83">
      <w:pPr>
        <w:jc w:val="both"/>
        <w:rPr>
          <w:rFonts w:ascii="Calibri Light" w:eastAsia="Calibri Light" w:hAnsi="Calibri Light" w:cs="Calibri Light"/>
          <w:sz w:val="20"/>
          <w:szCs w:val="20"/>
        </w:rPr>
      </w:pPr>
      <w:r w:rsidRPr="00086EE1">
        <w:rPr>
          <w:rFonts w:ascii="Calibri Light" w:eastAsia="Calibri Light" w:hAnsi="Calibri Light" w:cs="Calibri Light"/>
          <w:sz w:val="20"/>
          <w:szCs w:val="20"/>
        </w:rPr>
        <w:t xml:space="preserve">Under the first pillar, </w:t>
      </w:r>
      <w:r w:rsidRPr="00086EE1">
        <w:rPr>
          <w:rFonts w:ascii="Calibri Light" w:eastAsia="Calibri Light" w:hAnsi="Calibri Light" w:cs="Calibri Light"/>
          <w:i/>
          <w:iCs/>
          <w:sz w:val="20"/>
          <w:szCs w:val="20"/>
        </w:rPr>
        <w:t>Health First: Protecting health services and systems during the crisis</w:t>
      </w:r>
      <w:r w:rsidRPr="00086EE1">
        <w:rPr>
          <w:rFonts w:ascii="Calibri Light" w:eastAsia="Calibri Light" w:hAnsi="Calibri Light" w:cs="Calibri Light"/>
          <w:sz w:val="20"/>
          <w:szCs w:val="20"/>
        </w:rPr>
        <w:t xml:space="preserve">, there have been some 34,646 beneficiaries. Through nutrition programs, 16,668 beneficiaries have been reached. Furthermore, 31 health workers have been supported. Under the second pillar, </w:t>
      </w:r>
      <w:r w:rsidRPr="00086EE1">
        <w:rPr>
          <w:rFonts w:ascii="Calibri Light" w:eastAsia="Calibri Light" w:hAnsi="Calibri Light" w:cs="Calibri Light"/>
          <w:i/>
          <w:iCs/>
          <w:sz w:val="20"/>
          <w:szCs w:val="20"/>
        </w:rPr>
        <w:t xml:space="preserve">Protecting People: Social protection and basic services, </w:t>
      </w:r>
      <w:r w:rsidRPr="00086EE1">
        <w:rPr>
          <w:rFonts w:ascii="Calibri Light" w:eastAsia="Calibri Light" w:hAnsi="Calibri Light" w:cs="Calibri Light"/>
          <w:sz w:val="20"/>
          <w:szCs w:val="20"/>
        </w:rPr>
        <w:t xml:space="preserve">there have been some 1,960,601 beneficiaries. 1,015,330 children have been supposed with distance and home-based learning, 131,170 children have received a take-home ration as an alternative to meals, 23,365 beneficiaries have received WASH supplies (including hygiene items), 778,559 beneficiaries are engaged in cash transfer programs and 12,177 individuals received psychosocial support. </w:t>
      </w:r>
    </w:p>
    <w:p w14:paraId="1DC49C58" w14:textId="1B5D4CE8" w:rsidR="7CCB71F0" w:rsidRPr="00086EE1" w:rsidRDefault="7CCB71F0" w:rsidP="000D1B83">
      <w:pPr>
        <w:spacing w:line="252" w:lineRule="auto"/>
        <w:jc w:val="both"/>
        <w:rPr>
          <w:rFonts w:ascii="Calibri Light" w:eastAsia="Calibri Light" w:hAnsi="Calibri Light" w:cs="Calibri Light"/>
          <w:sz w:val="20"/>
          <w:szCs w:val="20"/>
        </w:rPr>
      </w:pPr>
      <w:r w:rsidRPr="00086EE1">
        <w:rPr>
          <w:rFonts w:ascii="Calibri Light" w:eastAsia="Calibri Light" w:hAnsi="Calibri Light" w:cs="Calibri Light"/>
          <w:sz w:val="20"/>
          <w:szCs w:val="20"/>
        </w:rPr>
        <w:t xml:space="preserve"> </w:t>
      </w:r>
    </w:p>
    <w:p w14:paraId="502A6F2B" w14:textId="6088F3E9" w:rsidR="7CCB71F0" w:rsidRPr="00086EE1" w:rsidRDefault="7CCB71F0" w:rsidP="000D1B83">
      <w:pPr>
        <w:spacing w:line="252" w:lineRule="auto"/>
        <w:jc w:val="both"/>
        <w:rPr>
          <w:rFonts w:ascii="Calibri Light" w:eastAsia="Calibri Light" w:hAnsi="Calibri Light" w:cs="Calibri Light"/>
          <w:sz w:val="20"/>
          <w:szCs w:val="20"/>
        </w:rPr>
      </w:pPr>
      <w:r w:rsidRPr="00086EE1">
        <w:rPr>
          <w:rFonts w:ascii="Calibri Light" w:eastAsia="Calibri Light" w:hAnsi="Calibri Light" w:cs="Calibri Light"/>
          <w:sz w:val="20"/>
          <w:szCs w:val="20"/>
        </w:rPr>
        <w:t xml:space="preserve">Under the third pillar, </w:t>
      </w:r>
      <w:r w:rsidRPr="00086EE1">
        <w:rPr>
          <w:rFonts w:ascii="Calibri Light" w:eastAsia="Calibri Light" w:hAnsi="Calibri Light" w:cs="Calibri Light"/>
          <w:i/>
          <w:iCs/>
          <w:sz w:val="20"/>
          <w:szCs w:val="20"/>
        </w:rPr>
        <w:t>Economic Response and Recovery: Protecting jobs, small and medium-sized enterprises and vulnerable workers in the informal economy</w:t>
      </w:r>
      <w:r w:rsidRPr="00086EE1">
        <w:rPr>
          <w:rFonts w:ascii="Calibri Light" w:eastAsia="Calibri Light" w:hAnsi="Calibri Light" w:cs="Calibri Light"/>
          <w:sz w:val="20"/>
          <w:szCs w:val="20"/>
        </w:rPr>
        <w:t xml:space="preserve">, there have been 707,516 beneficiaries, 7,302 formal sector workers and 707,516 beneficiaries through food supply protection regimes. Finally, under the fifth pillar, </w:t>
      </w:r>
      <w:r w:rsidRPr="00086EE1">
        <w:rPr>
          <w:rFonts w:ascii="Calibri Light" w:eastAsia="Calibri Light" w:hAnsi="Calibri Light" w:cs="Calibri Light"/>
          <w:i/>
          <w:iCs/>
          <w:sz w:val="20"/>
          <w:szCs w:val="20"/>
        </w:rPr>
        <w:t>Social Cohesion and community resilience</w:t>
      </w:r>
      <w:r w:rsidRPr="00086EE1">
        <w:rPr>
          <w:rFonts w:ascii="Calibri Light" w:eastAsia="Calibri Light" w:hAnsi="Calibri Light" w:cs="Calibri Light"/>
          <w:sz w:val="20"/>
          <w:szCs w:val="20"/>
        </w:rPr>
        <w:t>, three community-based organizations were supported.</w:t>
      </w:r>
    </w:p>
    <w:p w14:paraId="1E54FC84" w14:textId="77777777" w:rsidR="00BA5378" w:rsidRDefault="00BA5378" w:rsidP="001D36D4">
      <w:pPr>
        <w:jc w:val="both"/>
        <w:rPr>
          <w:rFonts w:asciiTheme="majorHAnsi" w:hAnsiTheme="majorHAnsi" w:cstheme="majorHAnsi"/>
        </w:rPr>
        <w:sectPr w:rsidR="00BA5378" w:rsidSect="00BA5378">
          <w:type w:val="continuous"/>
          <w:pgSz w:w="12240" w:h="15840"/>
          <w:pgMar w:top="1440" w:right="1440" w:bottom="1440" w:left="1440" w:header="720" w:footer="720" w:gutter="0"/>
          <w:pgNumType w:start="0"/>
          <w:cols w:num="2" w:space="720"/>
          <w:titlePg/>
          <w:docGrid w:linePitch="360"/>
        </w:sectPr>
      </w:pPr>
    </w:p>
    <w:p w14:paraId="7EB60FEC" w14:textId="32130288" w:rsidR="00151F46" w:rsidRPr="00F22F32" w:rsidRDefault="00151F46" w:rsidP="001D36D4">
      <w:pPr>
        <w:jc w:val="both"/>
        <w:rPr>
          <w:rFonts w:asciiTheme="majorHAnsi" w:hAnsiTheme="majorHAnsi" w:cstheme="majorHAnsi"/>
        </w:rPr>
      </w:pPr>
    </w:p>
    <w:p w14:paraId="2C9FC903" w14:textId="77777777" w:rsidR="00AA7D2F" w:rsidRPr="00F22F32" w:rsidRDefault="00AA7D2F" w:rsidP="00AA7D2F">
      <w:pPr>
        <w:jc w:val="both"/>
        <w:rPr>
          <w:rFonts w:asciiTheme="majorHAnsi" w:hAnsiTheme="majorHAnsi" w:cstheme="majorHAnsi"/>
        </w:rPr>
      </w:pPr>
    </w:p>
    <w:p w14:paraId="2D2E2895" w14:textId="7AA60979" w:rsidR="00DF2416" w:rsidRPr="00F22F32" w:rsidRDefault="00FF0D92" w:rsidP="00AA7D2F">
      <w:pPr>
        <w:pStyle w:val="ListParagraph"/>
        <w:numPr>
          <w:ilvl w:val="1"/>
          <w:numId w:val="1"/>
        </w:numPr>
        <w:jc w:val="both"/>
        <w:rPr>
          <w:rFonts w:cstheme="majorHAnsi"/>
          <w:i/>
          <w:iCs/>
        </w:rPr>
      </w:pPr>
      <w:r w:rsidRPr="00F22F32">
        <w:rPr>
          <w:rFonts w:cstheme="majorHAnsi"/>
          <w:i/>
          <w:iCs/>
        </w:rPr>
        <w:t>OUTCOMES</w:t>
      </w:r>
    </w:p>
    <w:p w14:paraId="366E29F3" w14:textId="77777777" w:rsidR="00AA7D2F" w:rsidRPr="00F22F32" w:rsidRDefault="00AA7D2F" w:rsidP="00AA7D2F">
      <w:pPr>
        <w:pStyle w:val="ListParagraph"/>
        <w:ind w:left="1440"/>
        <w:jc w:val="both"/>
        <w:rPr>
          <w:rFonts w:cstheme="majorHAnsi"/>
          <w:i/>
          <w:iCs/>
        </w:rPr>
      </w:pPr>
    </w:p>
    <w:p w14:paraId="5F5FED8D" w14:textId="52B210B1" w:rsidR="00F06DB7" w:rsidRPr="00F22F32" w:rsidRDefault="00F06DB7" w:rsidP="002B288E">
      <w:pPr>
        <w:pStyle w:val="Heading3"/>
        <w:numPr>
          <w:ilvl w:val="0"/>
          <w:numId w:val="57"/>
        </w:numPr>
        <w:ind w:left="720" w:hanging="360"/>
        <w:rPr>
          <w:rFonts w:eastAsia="Times New Roman"/>
          <w:b/>
          <w:bCs/>
          <w:color w:val="auto"/>
          <w:sz w:val="20"/>
          <w:szCs w:val="20"/>
        </w:rPr>
      </w:pPr>
      <w:bookmarkStart w:id="12" w:name="_Toc71207069"/>
      <w:r w:rsidRPr="00F22F32">
        <w:rPr>
          <w:rFonts w:eastAsia="Times New Roman"/>
          <w:b/>
          <w:bCs/>
          <w:color w:val="auto"/>
          <w:sz w:val="20"/>
          <w:szCs w:val="20"/>
        </w:rPr>
        <w:t>FOOD SECURITY AND NUTRITION</w:t>
      </w:r>
      <w:bookmarkEnd w:id="12"/>
    </w:p>
    <w:p w14:paraId="143727B7" w14:textId="766CFA2D" w:rsidR="00B07738" w:rsidRPr="00F22F32" w:rsidRDefault="00A1456B" w:rsidP="00B07738">
      <w:r>
        <w:rPr>
          <w:noProof/>
        </w:rPr>
        <w:drawing>
          <wp:inline distT="0" distB="0" distL="0" distR="0" wp14:anchorId="1BDE6704" wp14:editId="532F93BD">
            <wp:extent cx="6027725" cy="402641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43">
                      <a:extLst>
                        <a:ext uri="{28A0092B-C50C-407E-A947-70E740481C1C}">
                          <a14:useLocalDpi xmlns:a14="http://schemas.microsoft.com/office/drawing/2010/main" val="0"/>
                        </a:ext>
                      </a:extLst>
                    </a:blip>
                    <a:stretch>
                      <a:fillRect/>
                    </a:stretch>
                  </pic:blipFill>
                  <pic:spPr>
                    <a:xfrm>
                      <a:off x="0" y="0"/>
                      <a:ext cx="6027725" cy="4026411"/>
                    </a:xfrm>
                    <a:prstGeom prst="rect">
                      <a:avLst/>
                    </a:prstGeom>
                  </pic:spPr>
                </pic:pic>
              </a:graphicData>
            </a:graphic>
          </wp:inline>
        </w:drawing>
      </w:r>
    </w:p>
    <w:p w14:paraId="1DDB39CF" w14:textId="77777777" w:rsidR="00A1456B" w:rsidRPr="00F22F32" w:rsidRDefault="00A1456B" w:rsidP="00B07738"/>
    <w:p w14:paraId="5D47BDBB" w14:textId="77777777" w:rsidR="00BA5378" w:rsidRDefault="00BA5378" w:rsidP="00F06DB7">
      <w:pPr>
        <w:tabs>
          <w:tab w:val="left" w:pos="990"/>
        </w:tabs>
        <w:jc w:val="both"/>
        <w:rPr>
          <w:rFonts w:asciiTheme="majorHAnsi" w:hAnsiTheme="majorHAnsi" w:cstheme="majorHAnsi"/>
          <w:b/>
          <w:bCs/>
          <w:sz w:val="20"/>
          <w:szCs w:val="20"/>
        </w:rPr>
        <w:sectPr w:rsidR="00BA5378" w:rsidSect="005B27FF">
          <w:type w:val="continuous"/>
          <w:pgSz w:w="12240" w:h="15840"/>
          <w:pgMar w:top="1440" w:right="1440" w:bottom="1440" w:left="1440" w:header="720" w:footer="720" w:gutter="0"/>
          <w:pgNumType w:start="0"/>
          <w:cols w:space="720"/>
          <w:titlePg/>
          <w:docGrid w:linePitch="360"/>
        </w:sectPr>
      </w:pPr>
    </w:p>
    <w:p w14:paraId="7E292165" w14:textId="3D681704" w:rsidR="00F06DB7" w:rsidRPr="00F22F32" w:rsidRDefault="006F0B4D" w:rsidP="00F06DB7">
      <w:pPr>
        <w:tabs>
          <w:tab w:val="left" w:pos="990"/>
        </w:tabs>
        <w:jc w:val="both"/>
        <w:rPr>
          <w:rFonts w:asciiTheme="majorHAnsi" w:hAnsiTheme="majorHAnsi" w:cstheme="majorHAnsi"/>
          <w:b/>
          <w:bCs/>
          <w:sz w:val="20"/>
          <w:szCs w:val="20"/>
        </w:rPr>
      </w:pPr>
      <w:r w:rsidRPr="00F22F32">
        <w:rPr>
          <w:rFonts w:asciiTheme="majorHAnsi" w:hAnsiTheme="majorHAnsi" w:cstheme="majorHAnsi"/>
          <w:b/>
          <w:bCs/>
          <w:sz w:val="20"/>
          <w:szCs w:val="20"/>
        </w:rPr>
        <w:t>Key achievements</w:t>
      </w:r>
    </w:p>
    <w:p w14:paraId="2D881E7A" w14:textId="77777777" w:rsidR="00AE6F94" w:rsidRPr="00F22F32" w:rsidRDefault="00AE6F94" w:rsidP="00AE6F94">
      <w:pPr>
        <w:jc w:val="both"/>
        <w:rPr>
          <w:rFonts w:asciiTheme="majorHAnsi" w:hAnsiTheme="majorHAnsi" w:cstheme="majorHAnsi"/>
          <w:sz w:val="20"/>
          <w:szCs w:val="20"/>
        </w:rPr>
      </w:pPr>
      <w:r w:rsidRPr="00F22F32">
        <w:rPr>
          <w:rFonts w:asciiTheme="majorHAnsi" w:hAnsiTheme="majorHAnsi" w:cstheme="majorHAnsi"/>
          <w:sz w:val="20"/>
          <w:szCs w:val="20"/>
        </w:rPr>
        <w:t>The UN contributed to strengthening the capacity of the Ministry of Agriculture and Rural Development (MADER), the Technical Secretariat for Food Security and Nutrition (SETSAN) and other stakeholders to design and implement evidence-based and gender-responsive agriculture and food and nutrition security policies, programs and investments</w:t>
      </w:r>
      <w:r w:rsidRPr="00F22F32">
        <w:rPr>
          <w:rStyle w:val="FootnoteReference"/>
          <w:rFonts w:asciiTheme="majorHAnsi" w:hAnsiTheme="majorHAnsi" w:cstheme="majorHAnsi"/>
          <w:sz w:val="20"/>
          <w:szCs w:val="20"/>
        </w:rPr>
        <w:footnoteReference w:id="2"/>
      </w:r>
      <w:r w:rsidRPr="00F22F32">
        <w:rPr>
          <w:rFonts w:asciiTheme="majorHAnsi" w:hAnsiTheme="majorHAnsi" w:cstheme="majorHAnsi"/>
          <w:sz w:val="20"/>
          <w:szCs w:val="20"/>
        </w:rPr>
        <w:t>. Additionally, the UN provided technical and financial support provided to MADER to strengthen quality agricultural extension services</w:t>
      </w:r>
      <w:r w:rsidRPr="00F22F32">
        <w:rPr>
          <w:rStyle w:val="FootnoteReference"/>
          <w:rFonts w:asciiTheme="majorHAnsi" w:hAnsiTheme="majorHAnsi" w:cstheme="majorHAnsi"/>
          <w:sz w:val="20"/>
          <w:szCs w:val="20"/>
        </w:rPr>
        <w:footnoteReference w:id="3"/>
      </w:r>
      <w:r w:rsidRPr="00F22F32">
        <w:rPr>
          <w:rFonts w:asciiTheme="majorHAnsi" w:hAnsiTheme="majorHAnsi" w:cstheme="majorHAnsi"/>
          <w:sz w:val="20"/>
          <w:szCs w:val="20"/>
        </w:rPr>
        <w:t xml:space="preserve">. </w:t>
      </w:r>
    </w:p>
    <w:p w14:paraId="5A05F161" w14:textId="77777777" w:rsidR="00AE6F94" w:rsidRPr="00F22F32" w:rsidRDefault="00AE6F94" w:rsidP="00AE6F94">
      <w:pPr>
        <w:jc w:val="both"/>
        <w:rPr>
          <w:rFonts w:asciiTheme="majorHAnsi" w:hAnsiTheme="majorHAnsi" w:cstheme="majorHAnsi"/>
          <w:sz w:val="20"/>
          <w:szCs w:val="20"/>
        </w:rPr>
      </w:pPr>
    </w:p>
    <w:p w14:paraId="310A05E2" w14:textId="77777777" w:rsidR="00AE6F94" w:rsidRPr="00F22F32" w:rsidRDefault="00AE6F94" w:rsidP="00AE6F94">
      <w:pPr>
        <w:jc w:val="both"/>
        <w:rPr>
          <w:rFonts w:asciiTheme="majorHAnsi" w:eastAsiaTheme="majorEastAsia" w:hAnsiTheme="majorHAnsi" w:cstheme="majorHAnsi"/>
          <w:sz w:val="20"/>
          <w:szCs w:val="20"/>
        </w:rPr>
      </w:pPr>
      <w:r w:rsidRPr="00F22F32">
        <w:rPr>
          <w:rFonts w:asciiTheme="majorHAnsi" w:hAnsiTheme="majorHAnsi" w:cstheme="majorHAnsi"/>
          <w:bCs/>
          <w:sz w:val="20"/>
          <w:szCs w:val="20"/>
        </w:rPr>
        <w:t xml:space="preserve">The UN continued to provide Emergency Food and </w:t>
      </w:r>
      <w:r w:rsidRPr="00F22F32">
        <w:rPr>
          <w:rFonts w:asciiTheme="majorHAnsi" w:hAnsiTheme="majorHAnsi" w:cstheme="majorHAnsi"/>
          <w:bCs/>
          <w:sz w:val="20"/>
          <w:szCs w:val="20"/>
        </w:rPr>
        <w:t xml:space="preserve">Agricultural Assistance through in-kind and cash-based transfer assistance as well as agricultural inputs and tools. </w:t>
      </w:r>
      <w:r w:rsidRPr="00F22F32">
        <w:rPr>
          <w:rFonts w:asciiTheme="majorHAnsi" w:eastAsiaTheme="majorEastAsia" w:hAnsiTheme="majorHAnsi" w:cstheme="majorHAnsi"/>
          <w:sz w:val="20"/>
          <w:szCs w:val="20"/>
        </w:rPr>
        <w:t xml:space="preserve">Lifesaving and recovery assistance were provided in nine provinces reaching 1.2 million people following extensive crop loss and damage of agricultural livelihoods in 2019. </w:t>
      </w:r>
    </w:p>
    <w:p w14:paraId="68907B4D" w14:textId="77777777" w:rsidR="00AE6F94" w:rsidRPr="00F22F32" w:rsidRDefault="00AE6F94" w:rsidP="00AE6F94">
      <w:pPr>
        <w:jc w:val="both"/>
        <w:rPr>
          <w:rFonts w:asciiTheme="majorHAnsi" w:eastAsiaTheme="minorHAnsi" w:hAnsiTheme="majorHAnsi" w:cstheme="majorHAnsi"/>
          <w:sz w:val="20"/>
          <w:szCs w:val="20"/>
        </w:rPr>
      </w:pPr>
    </w:p>
    <w:p w14:paraId="09D72EC3" w14:textId="5491BA79" w:rsidR="00AE6F94" w:rsidRDefault="00AE6F94" w:rsidP="00AE6F94">
      <w:pPr>
        <w:jc w:val="both"/>
        <w:rPr>
          <w:rFonts w:asciiTheme="majorHAnsi" w:eastAsiaTheme="majorEastAsia" w:hAnsiTheme="majorHAnsi" w:cstheme="majorHAnsi"/>
          <w:bCs/>
          <w:sz w:val="20"/>
          <w:szCs w:val="20"/>
        </w:rPr>
      </w:pPr>
      <w:r w:rsidRPr="00F22F32">
        <w:rPr>
          <w:rFonts w:asciiTheme="majorHAnsi" w:hAnsiTheme="majorHAnsi" w:cstheme="majorHAnsi"/>
          <w:bCs/>
          <w:sz w:val="20"/>
          <w:szCs w:val="20"/>
        </w:rPr>
        <w:t>The UN also supported improved interventions to promote nutrition including the operationalization of nutrition communication strategies, programs related to vitamin A supplementation for children, immunization initiative and malnutrition campaigns</w:t>
      </w:r>
      <w:r w:rsidRPr="00F22F32">
        <w:rPr>
          <w:rFonts w:asciiTheme="majorHAnsi" w:eastAsiaTheme="majorEastAsia" w:hAnsiTheme="majorHAnsi" w:cstheme="majorHAnsi"/>
          <w:bCs/>
          <w:sz w:val="20"/>
          <w:szCs w:val="20"/>
        </w:rPr>
        <w:t>.</w:t>
      </w:r>
    </w:p>
    <w:p w14:paraId="75AB8B05" w14:textId="51014191" w:rsidR="003E50DB" w:rsidRDefault="003E50DB" w:rsidP="00AE6F94">
      <w:pPr>
        <w:jc w:val="both"/>
        <w:rPr>
          <w:rFonts w:asciiTheme="majorHAnsi" w:eastAsiaTheme="majorEastAsia" w:hAnsiTheme="majorHAnsi" w:cstheme="majorHAnsi"/>
          <w:bCs/>
          <w:sz w:val="20"/>
          <w:szCs w:val="20"/>
        </w:rPr>
      </w:pPr>
    </w:p>
    <w:p w14:paraId="383D302B" w14:textId="49822049" w:rsidR="003E50DB" w:rsidRPr="002836FF" w:rsidRDefault="002836FF" w:rsidP="00AE6F94">
      <w:pPr>
        <w:jc w:val="both"/>
        <w:rPr>
          <w:rFonts w:asciiTheme="majorHAnsi" w:eastAsiaTheme="majorEastAsia" w:hAnsiTheme="majorHAnsi" w:cstheme="majorHAnsi"/>
          <w:b/>
          <w:sz w:val="20"/>
          <w:szCs w:val="20"/>
        </w:rPr>
      </w:pPr>
      <w:r w:rsidRPr="002836FF">
        <w:rPr>
          <w:rFonts w:asciiTheme="majorHAnsi" w:eastAsiaTheme="majorEastAsia" w:hAnsiTheme="majorHAnsi" w:cstheme="majorHAnsi"/>
          <w:b/>
          <w:sz w:val="20"/>
          <w:szCs w:val="20"/>
        </w:rPr>
        <w:lastRenderedPageBreak/>
        <w:t>One UN tackling the needs of displaced people in Northern Mozambique</w:t>
      </w:r>
    </w:p>
    <w:p w14:paraId="3C27E5F6" w14:textId="2F473871" w:rsidR="0036238E" w:rsidRDefault="0036238E" w:rsidP="0036238E">
      <w:pPr>
        <w:jc w:val="both"/>
        <w:rPr>
          <w:rFonts w:asciiTheme="majorHAnsi" w:eastAsiaTheme="majorEastAsia" w:hAnsiTheme="majorHAnsi" w:cstheme="majorHAnsi"/>
          <w:bCs/>
          <w:sz w:val="20"/>
          <w:szCs w:val="20"/>
        </w:rPr>
      </w:pPr>
      <w:r w:rsidRPr="0036238E">
        <w:rPr>
          <w:rFonts w:asciiTheme="majorHAnsi" w:eastAsiaTheme="majorEastAsia" w:hAnsiTheme="majorHAnsi" w:cstheme="majorHAnsi"/>
          <w:bCs/>
          <w:sz w:val="20"/>
          <w:szCs w:val="20"/>
        </w:rPr>
        <w:t xml:space="preserve">In Cabo Delgado, one in five people has had their livelihoods disrupted by the current crisis. In Metuge, 33,000 displaced people are safe from violence in temporary shelters, but food is the main need of displaced people; and children are the most at risk of malnutrition. </w:t>
      </w:r>
    </w:p>
    <w:p w14:paraId="5A4D1041" w14:textId="77777777" w:rsidR="0036238E" w:rsidRPr="0036238E" w:rsidRDefault="0036238E" w:rsidP="0036238E">
      <w:pPr>
        <w:jc w:val="both"/>
        <w:rPr>
          <w:rFonts w:asciiTheme="majorHAnsi" w:eastAsiaTheme="majorEastAsia" w:hAnsiTheme="majorHAnsi" w:cstheme="majorHAnsi"/>
          <w:bCs/>
          <w:sz w:val="20"/>
          <w:szCs w:val="20"/>
        </w:rPr>
      </w:pPr>
    </w:p>
    <w:p w14:paraId="61ADD6F9" w14:textId="77777777" w:rsidR="0036238E" w:rsidRPr="0036238E" w:rsidRDefault="0036238E" w:rsidP="0036238E">
      <w:pPr>
        <w:jc w:val="both"/>
        <w:rPr>
          <w:rFonts w:asciiTheme="majorHAnsi" w:eastAsiaTheme="majorEastAsia" w:hAnsiTheme="majorHAnsi" w:cstheme="majorHAnsi"/>
          <w:bCs/>
          <w:sz w:val="20"/>
          <w:szCs w:val="20"/>
        </w:rPr>
      </w:pPr>
      <w:r w:rsidRPr="0036238E">
        <w:rPr>
          <w:rFonts w:asciiTheme="majorHAnsi" w:eastAsiaTheme="majorEastAsia" w:hAnsiTheme="majorHAnsi" w:cstheme="majorHAnsi"/>
          <w:bCs/>
          <w:sz w:val="20"/>
          <w:szCs w:val="20"/>
        </w:rPr>
        <w:t>Ancha lives in a shelter with four daughters. Her youngest is suffering from moderate acute malnutrition. Since fleeing home, the girl has barely eaten because of trauma and scarcity of food. Their family is counting on the assistance of WFP and UNICEF. “We cannot work on our farm anymore; if the help stops, we will die.”</w:t>
      </w:r>
    </w:p>
    <w:p w14:paraId="651CE8AB" w14:textId="77777777" w:rsidR="0036238E" w:rsidRPr="0036238E" w:rsidRDefault="0036238E" w:rsidP="0036238E">
      <w:pPr>
        <w:jc w:val="both"/>
        <w:rPr>
          <w:rFonts w:asciiTheme="majorHAnsi" w:eastAsiaTheme="majorEastAsia" w:hAnsiTheme="majorHAnsi" w:cstheme="majorHAnsi"/>
          <w:bCs/>
          <w:sz w:val="20"/>
          <w:szCs w:val="20"/>
        </w:rPr>
      </w:pPr>
      <w:r w:rsidRPr="0036238E">
        <w:rPr>
          <w:rFonts w:asciiTheme="majorHAnsi" w:eastAsiaTheme="majorEastAsia" w:hAnsiTheme="majorHAnsi" w:cstheme="majorHAnsi"/>
          <w:bCs/>
          <w:sz w:val="20"/>
          <w:szCs w:val="20"/>
        </w:rPr>
        <w:t xml:space="preserve">In 2020, WFP provided food to over 400,000 people in Cabo Delgado. But to treat acute malnutrition more calories and nutrients are required. UNICEF distributes energy and nutrient-dense specialized therapeutic food to health centres for children with severe acute malnutrition, and WFP provides for children with moderate acute malnutrition. </w:t>
      </w:r>
    </w:p>
    <w:p w14:paraId="2116DCA3" w14:textId="59757936" w:rsidR="0036238E" w:rsidRDefault="0036238E" w:rsidP="0036238E">
      <w:pPr>
        <w:jc w:val="both"/>
        <w:rPr>
          <w:rFonts w:asciiTheme="majorHAnsi" w:eastAsiaTheme="majorEastAsia" w:hAnsiTheme="majorHAnsi" w:cstheme="majorHAnsi"/>
          <w:bCs/>
          <w:sz w:val="20"/>
          <w:szCs w:val="20"/>
        </w:rPr>
      </w:pPr>
      <w:r w:rsidRPr="0036238E">
        <w:rPr>
          <w:rFonts w:asciiTheme="majorHAnsi" w:eastAsiaTheme="majorEastAsia" w:hAnsiTheme="majorHAnsi" w:cstheme="majorHAnsi"/>
          <w:bCs/>
          <w:sz w:val="20"/>
          <w:szCs w:val="20"/>
        </w:rPr>
        <w:t>WFP and UNICEF partnered with the Government in a nutrition survey to document the levels of malnutrition. They found that 6% of displaced children under-5 had acute malnutrition, which is life-threatening, but treatable. Chronic malnutrition (or ‘stunting’) reaches 50% of displaced children (41% among host communities). Stunting, however, cannot be reversed; it occurs cumulatively due to inadequate food intake, causing lifelong consequences, like poor cognitive development.</w:t>
      </w:r>
    </w:p>
    <w:p w14:paraId="0AB7E02A" w14:textId="7868E82B" w:rsidR="0036238E" w:rsidRDefault="0036238E" w:rsidP="0036238E">
      <w:pPr>
        <w:jc w:val="both"/>
        <w:rPr>
          <w:rFonts w:asciiTheme="majorHAnsi" w:eastAsiaTheme="majorEastAsia" w:hAnsiTheme="majorHAnsi" w:cstheme="majorHAnsi"/>
          <w:bCs/>
          <w:sz w:val="20"/>
          <w:szCs w:val="20"/>
        </w:rPr>
      </w:pPr>
    </w:p>
    <w:p w14:paraId="6B9FAE6F" w14:textId="67F3B90E" w:rsidR="00C2227C" w:rsidRPr="0036238E" w:rsidRDefault="00C2227C" w:rsidP="0036238E">
      <w:pPr>
        <w:jc w:val="both"/>
        <w:rPr>
          <w:rFonts w:asciiTheme="majorHAnsi" w:eastAsiaTheme="majorEastAsia" w:hAnsiTheme="majorHAnsi" w:cstheme="majorHAnsi"/>
          <w:bCs/>
          <w:sz w:val="20"/>
          <w:szCs w:val="20"/>
        </w:rPr>
      </w:pPr>
      <w:r w:rsidRPr="000B7274">
        <w:rPr>
          <w:rFonts w:asciiTheme="minorHAnsi" w:hAnsiTheme="minorHAnsi" w:cstheme="minorHAnsi"/>
          <w:noProof/>
          <w:lang w:val="pt-PT" w:eastAsia="pt-PT"/>
        </w:rPr>
        <w:drawing>
          <wp:inline distT="0" distB="0" distL="0" distR="0" wp14:anchorId="0C0F3B1C" wp14:editId="2F4974E5">
            <wp:extent cx="2683566" cy="1789043"/>
            <wp:effectExtent l="0" t="0" r="2540" b="1905"/>
            <wp:docPr id="1" name="Picture 1" descr="A picture containing outdoor,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ground&#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53425" cy="1835615"/>
                    </a:xfrm>
                    <a:prstGeom prst="rect">
                      <a:avLst/>
                    </a:prstGeom>
                  </pic:spPr>
                </pic:pic>
              </a:graphicData>
            </a:graphic>
          </wp:inline>
        </w:drawing>
      </w:r>
    </w:p>
    <w:p w14:paraId="6A7DECE8" w14:textId="77777777" w:rsidR="00087269" w:rsidRPr="00087269" w:rsidRDefault="00087269" w:rsidP="00087269">
      <w:pPr>
        <w:pStyle w:val="Caption"/>
        <w:rPr>
          <w:rFonts w:asciiTheme="majorHAnsi" w:eastAsiaTheme="majorEastAsia" w:hAnsiTheme="majorHAnsi" w:cstheme="majorHAnsi"/>
          <w:bCs/>
          <w:color w:val="auto"/>
          <w:sz w:val="20"/>
          <w:szCs w:val="20"/>
          <w:lang w:bidi="en-US"/>
        </w:rPr>
      </w:pPr>
      <w:r w:rsidRPr="00087269">
        <w:rPr>
          <w:rFonts w:asciiTheme="majorHAnsi" w:eastAsiaTheme="majorEastAsia" w:hAnsiTheme="majorHAnsi" w:cstheme="majorHAnsi"/>
          <w:bCs/>
          <w:color w:val="auto"/>
          <w:sz w:val="20"/>
          <w:szCs w:val="20"/>
          <w:lang w:bidi="en-US"/>
        </w:rPr>
        <w:t xml:space="preserve">Figure </w:t>
      </w:r>
      <w:r w:rsidRPr="00087269">
        <w:rPr>
          <w:rFonts w:asciiTheme="majorHAnsi" w:eastAsiaTheme="majorEastAsia" w:hAnsiTheme="majorHAnsi" w:cstheme="majorHAnsi"/>
          <w:bCs/>
          <w:color w:val="auto"/>
          <w:sz w:val="20"/>
          <w:szCs w:val="20"/>
          <w:lang w:bidi="en-US"/>
        </w:rPr>
        <w:fldChar w:fldCharType="begin"/>
      </w:r>
      <w:r w:rsidRPr="00087269">
        <w:rPr>
          <w:rFonts w:asciiTheme="majorHAnsi" w:eastAsiaTheme="majorEastAsia" w:hAnsiTheme="majorHAnsi" w:cstheme="majorHAnsi"/>
          <w:bCs/>
          <w:color w:val="auto"/>
          <w:sz w:val="20"/>
          <w:szCs w:val="20"/>
          <w:lang w:bidi="en-US"/>
        </w:rPr>
        <w:instrText xml:space="preserve"> SEQ Figure \* ARABIC </w:instrText>
      </w:r>
      <w:r w:rsidRPr="00087269">
        <w:rPr>
          <w:rFonts w:asciiTheme="majorHAnsi" w:eastAsiaTheme="majorEastAsia" w:hAnsiTheme="majorHAnsi" w:cstheme="majorHAnsi"/>
          <w:bCs/>
          <w:color w:val="auto"/>
          <w:sz w:val="20"/>
          <w:szCs w:val="20"/>
          <w:lang w:bidi="en-US"/>
        </w:rPr>
        <w:fldChar w:fldCharType="separate"/>
      </w:r>
      <w:r w:rsidRPr="00087269">
        <w:rPr>
          <w:rFonts w:asciiTheme="majorHAnsi" w:eastAsiaTheme="majorEastAsia" w:hAnsiTheme="majorHAnsi" w:cstheme="majorHAnsi"/>
          <w:bCs/>
          <w:color w:val="auto"/>
          <w:sz w:val="20"/>
          <w:szCs w:val="20"/>
          <w:lang w:bidi="en-US"/>
        </w:rPr>
        <w:t>1</w:t>
      </w:r>
      <w:r w:rsidRPr="00087269">
        <w:rPr>
          <w:rFonts w:asciiTheme="majorHAnsi" w:eastAsiaTheme="majorEastAsia" w:hAnsiTheme="majorHAnsi" w:cstheme="majorHAnsi"/>
          <w:bCs/>
          <w:color w:val="auto"/>
          <w:sz w:val="20"/>
          <w:szCs w:val="20"/>
          <w:lang w:bidi="en-US"/>
        </w:rPr>
        <w:fldChar w:fldCharType="end"/>
      </w:r>
      <w:r w:rsidRPr="00087269">
        <w:rPr>
          <w:rFonts w:asciiTheme="majorHAnsi" w:eastAsiaTheme="majorEastAsia" w:hAnsiTheme="majorHAnsi" w:cstheme="majorHAnsi"/>
          <w:bCs/>
          <w:color w:val="auto"/>
          <w:sz w:val="20"/>
          <w:szCs w:val="20"/>
          <w:lang w:bidi="en-US"/>
        </w:rPr>
        <w:t xml:space="preserve"> Ancha and her daughters in front of their temporary shelter in 25 de Junho. Photo: WFP/Nuno Rebocho</w:t>
      </w:r>
    </w:p>
    <w:p w14:paraId="38680859" w14:textId="77777777" w:rsidR="00EE0E9C" w:rsidRDefault="00EE0E9C" w:rsidP="0036238E">
      <w:pPr>
        <w:jc w:val="both"/>
        <w:rPr>
          <w:rFonts w:asciiTheme="majorHAnsi" w:eastAsiaTheme="majorEastAsia" w:hAnsiTheme="majorHAnsi" w:cstheme="majorHAnsi"/>
          <w:bCs/>
          <w:sz w:val="20"/>
          <w:szCs w:val="20"/>
        </w:rPr>
      </w:pPr>
    </w:p>
    <w:p w14:paraId="051B1E01" w14:textId="22C69C54" w:rsidR="0036238E" w:rsidRPr="0036238E" w:rsidRDefault="0036238E" w:rsidP="0036238E">
      <w:pPr>
        <w:jc w:val="both"/>
        <w:rPr>
          <w:rFonts w:asciiTheme="majorHAnsi" w:eastAsiaTheme="majorEastAsia" w:hAnsiTheme="majorHAnsi" w:cstheme="majorHAnsi"/>
          <w:bCs/>
          <w:sz w:val="20"/>
          <w:szCs w:val="20"/>
        </w:rPr>
      </w:pPr>
      <w:r w:rsidRPr="0036238E">
        <w:rPr>
          <w:rFonts w:asciiTheme="majorHAnsi" w:eastAsiaTheme="majorEastAsia" w:hAnsiTheme="majorHAnsi" w:cstheme="majorHAnsi"/>
          <w:bCs/>
          <w:sz w:val="20"/>
          <w:szCs w:val="20"/>
        </w:rPr>
        <w:t>Such high levels of malnutrition are a ticking time bomb for Cabo Delgado’s children that is why multi-sectoral approaches are needed to ensure them a better future.</w:t>
      </w:r>
    </w:p>
    <w:p w14:paraId="7C5AB618" w14:textId="77777777" w:rsidR="0036238E" w:rsidRPr="0036238E" w:rsidRDefault="0036238E" w:rsidP="0036238E">
      <w:pPr>
        <w:jc w:val="both"/>
        <w:rPr>
          <w:rFonts w:asciiTheme="majorHAnsi" w:eastAsiaTheme="majorEastAsia" w:hAnsiTheme="majorHAnsi" w:cstheme="majorHAnsi"/>
          <w:bCs/>
          <w:sz w:val="20"/>
          <w:szCs w:val="20"/>
        </w:rPr>
      </w:pPr>
      <w:r w:rsidRPr="0036238E">
        <w:rPr>
          <w:rFonts w:asciiTheme="majorHAnsi" w:eastAsiaTheme="majorEastAsia" w:hAnsiTheme="majorHAnsi" w:cstheme="majorHAnsi"/>
          <w:bCs/>
          <w:sz w:val="20"/>
          <w:szCs w:val="20"/>
        </w:rPr>
        <w:t>In Katapua village, also in Cabo Delgado, a mother of two Cristina Mariano was trained as a Care Mother by the FAO Nutrition programme to fight malnutrition among children under 5 years-old. She now leads a group of 10 other mothers, pregnant and lactating women and teach them good practices on nutrition, hygiene, health, cooking demonstrations, and vegetable growing.</w:t>
      </w:r>
    </w:p>
    <w:p w14:paraId="3F08BD97" w14:textId="4B1F730A" w:rsidR="0036238E" w:rsidRDefault="0036238E" w:rsidP="0036238E">
      <w:pPr>
        <w:jc w:val="both"/>
        <w:rPr>
          <w:rFonts w:asciiTheme="majorHAnsi" w:eastAsiaTheme="majorEastAsia" w:hAnsiTheme="majorHAnsi" w:cstheme="majorHAnsi"/>
          <w:bCs/>
          <w:sz w:val="20"/>
          <w:szCs w:val="20"/>
        </w:rPr>
      </w:pPr>
      <w:r w:rsidRPr="0036238E">
        <w:rPr>
          <w:rFonts w:asciiTheme="majorHAnsi" w:eastAsiaTheme="majorEastAsia" w:hAnsiTheme="majorHAnsi" w:cstheme="majorHAnsi"/>
          <w:bCs/>
          <w:sz w:val="20"/>
          <w:szCs w:val="20"/>
        </w:rPr>
        <w:t>FAO programme empowers women to teach each other within their communities. “We suffered a lot with our kid’s nutritional. With this programme we are saving children”, says Cristina. “We have learnt to prepare the enriched porridges with moringa flour, peanut butter, eggs and sugar”. Enriched porridge had become a powerful tool for mothers to fight malnutrition.</w:t>
      </w:r>
    </w:p>
    <w:p w14:paraId="108D20ED" w14:textId="77777777" w:rsidR="0036238E" w:rsidRPr="0036238E" w:rsidRDefault="0036238E" w:rsidP="0036238E">
      <w:pPr>
        <w:jc w:val="both"/>
        <w:rPr>
          <w:rFonts w:asciiTheme="majorHAnsi" w:eastAsiaTheme="majorEastAsia" w:hAnsiTheme="majorHAnsi" w:cstheme="majorHAnsi"/>
          <w:bCs/>
          <w:sz w:val="20"/>
          <w:szCs w:val="20"/>
        </w:rPr>
      </w:pPr>
    </w:p>
    <w:p w14:paraId="201D6EB5" w14:textId="4D5E21E5" w:rsidR="002836FF" w:rsidRPr="00F22F32" w:rsidRDefault="0036238E" w:rsidP="0036238E">
      <w:pPr>
        <w:jc w:val="both"/>
        <w:rPr>
          <w:rFonts w:asciiTheme="majorHAnsi" w:eastAsiaTheme="majorEastAsia" w:hAnsiTheme="majorHAnsi" w:cstheme="majorHAnsi"/>
          <w:bCs/>
          <w:sz w:val="20"/>
          <w:szCs w:val="20"/>
        </w:rPr>
      </w:pPr>
      <w:r w:rsidRPr="0036238E">
        <w:rPr>
          <w:rFonts w:asciiTheme="majorHAnsi" w:eastAsiaTheme="majorEastAsia" w:hAnsiTheme="majorHAnsi" w:cstheme="majorHAnsi"/>
          <w:bCs/>
          <w:sz w:val="20"/>
          <w:szCs w:val="20"/>
        </w:rPr>
        <w:t>Cristina and the other women also learned how to grow nutritious foods, a lesson that will improve the food security of their families forever. “We will keep what we learned in our houses”.</w:t>
      </w:r>
    </w:p>
    <w:p w14:paraId="44AE7AED" w14:textId="77777777" w:rsidR="00BA5378" w:rsidRDefault="00BA5378" w:rsidP="00F06DB7">
      <w:pPr>
        <w:tabs>
          <w:tab w:val="left" w:pos="990"/>
        </w:tabs>
        <w:jc w:val="both"/>
        <w:rPr>
          <w:rFonts w:asciiTheme="majorHAnsi" w:hAnsiTheme="majorHAnsi" w:cstheme="majorHAnsi"/>
          <w:b/>
          <w:bCs/>
          <w:sz w:val="20"/>
          <w:szCs w:val="20"/>
        </w:rPr>
        <w:sectPr w:rsidR="00BA5378" w:rsidSect="00BA5378">
          <w:type w:val="continuous"/>
          <w:pgSz w:w="12240" w:h="15840"/>
          <w:pgMar w:top="1440" w:right="1440" w:bottom="1440" w:left="1440" w:header="720" w:footer="720" w:gutter="0"/>
          <w:pgNumType w:start="0"/>
          <w:cols w:num="2" w:space="720"/>
          <w:titlePg/>
          <w:docGrid w:linePitch="360"/>
        </w:sectPr>
      </w:pPr>
    </w:p>
    <w:p w14:paraId="39E3D2D9" w14:textId="2446A180" w:rsidR="00BF226C" w:rsidRPr="00F22F32" w:rsidRDefault="00BF226C" w:rsidP="00F06DB7">
      <w:pPr>
        <w:tabs>
          <w:tab w:val="left" w:pos="990"/>
        </w:tabs>
        <w:jc w:val="both"/>
        <w:rPr>
          <w:rFonts w:asciiTheme="majorHAnsi" w:hAnsiTheme="majorHAnsi" w:cstheme="majorHAnsi"/>
          <w:b/>
          <w:bCs/>
          <w:sz w:val="20"/>
          <w:szCs w:val="20"/>
        </w:rPr>
      </w:pPr>
    </w:p>
    <w:p w14:paraId="54A75D97" w14:textId="368F6FE5" w:rsidR="00F06DB7" w:rsidRPr="00F22F32" w:rsidRDefault="00F06DB7" w:rsidP="002B288E">
      <w:pPr>
        <w:pStyle w:val="Heading3"/>
        <w:numPr>
          <w:ilvl w:val="0"/>
          <w:numId w:val="57"/>
        </w:numPr>
        <w:ind w:left="720" w:hanging="360"/>
        <w:rPr>
          <w:rFonts w:eastAsia="Times New Roman"/>
          <w:b/>
          <w:bCs/>
          <w:color w:val="auto"/>
          <w:sz w:val="20"/>
          <w:szCs w:val="20"/>
        </w:rPr>
      </w:pPr>
      <w:bookmarkStart w:id="13" w:name="_Toc71207070"/>
      <w:r w:rsidRPr="00F22F32">
        <w:rPr>
          <w:rFonts w:eastAsia="Times New Roman"/>
          <w:b/>
          <w:bCs/>
          <w:color w:val="auto"/>
          <w:sz w:val="20"/>
          <w:szCs w:val="20"/>
        </w:rPr>
        <w:lastRenderedPageBreak/>
        <w:t>ECONOMIC TRANSFORMATION</w:t>
      </w:r>
      <w:bookmarkEnd w:id="13"/>
    </w:p>
    <w:p w14:paraId="437337D1" w14:textId="6DBC199F" w:rsidR="00A1456B" w:rsidRPr="00F22F32" w:rsidRDefault="00A1456B" w:rsidP="00F06DB7">
      <w:pPr>
        <w:pStyle w:val="NormalWeb"/>
        <w:spacing w:before="0" w:beforeAutospacing="0" w:after="0" w:afterAutospacing="0"/>
        <w:jc w:val="both"/>
        <w:rPr>
          <w:rFonts w:asciiTheme="majorHAnsi" w:hAnsiTheme="majorHAnsi" w:cstheme="majorHAnsi"/>
          <w:b/>
          <w:bCs/>
          <w:sz w:val="20"/>
          <w:szCs w:val="20"/>
          <w:lang w:val="en-GB"/>
        </w:rPr>
      </w:pPr>
      <w:r>
        <w:rPr>
          <w:noProof/>
        </w:rPr>
        <w:drawing>
          <wp:inline distT="0" distB="0" distL="0" distR="0" wp14:anchorId="09B911BD" wp14:editId="142175E2">
            <wp:extent cx="5987880" cy="3460090"/>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45">
                      <a:extLst>
                        <a:ext uri="{28A0092B-C50C-407E-A947-70E740481C1C}">
                          <a14:useLocalDpi xmlns:a14="http://schemas.microsoft.com/office/drawing/2010/main" val="0"/>
                        </a:ext>
                      </a:extLst>
                    </a:blip>
                    <a:stretch>
                      <a:fillRect/>
                    </a:stretch>
                  </pic:blipFill>
                  <pic:spPr>
                    <a:xfrm>
                      <a:off x="0" y="0"/>
                      <a:ext cx="5987880" cy="3460090"/>
                    </a:xfrm>
                    <a:prstGeom prst="rect">
                      <a:avLst/>
                    </a:prstGeom>
                  </pic:spPr>
                </pic:pic>
              </a:graphicData>
            </a:graphic>
          </wp:inline>
        </w:drawing>
      </w:r>
    </w:p>
    <w:p w14:paraId="17B732B9" w14:textId="77777777" w:rsidR="00A1456B" w:rsidRPr="00F22F32" w:rsidRDefault="00A1456B" w:rsidP="00F06DB7">
      <w:pPr>
        <w:pStyle w:val="NormalWeb"/>
        <w:spacing w:before="0" w:beforeAutospacing="0" w:after="0" w:afterAutospacing="0"/>
        <w:jc w:val="both"/>
        <w:rPr>
          <w:rFonts w:asciiTheme="majorHAnsi" w:hAnsiTheme="majorHAnsi" w:cstheme="majorHAnsi"/>
          <w:b/>
          <w:bCs/>
          <w:sz w:val="20"/>
          <w:szCs w:val="20"/>
          <w:lang w:val="en-GB"/>
        </w:rPr>
      </w:pPr>
    </w:p>
    <w:p w14:paraId="75BC3C44" w14:textId="77777777" w:rsidR="0098602C" w:rsidRDefault="0098602C" w:rsidP="006F0B4D">
      <w:pPr>
        <w:tabs>
          <w:tab w:val="left" w:pos="990"/>
        </w:tabs>
        <w:jc w:val="both"/>
        <w:rPr>
          <w:rFonts w:asciiTheme="majorHAnsi" w:hAnsiTheme="majorHAnsi" w:cstheme="majorHAnsi"/>
          <w:b/>
          <w:bCs/>
          <w:sz w:val="20"/>
          <w:szCs w:val="20"/>
        </w:rPr>
        <w:sectPr w:rsidR="0098602C" w:rsidSect="005B27FF">
          <w:type w:val="continuous"/>
          <w:pgSz w:w="12240" w:h="15840"/>
          <w:pgMar w:top="1440" w:right="1440" w:bottom="1440" w:left="1440" w:header="720" w:footer="720" w:gutter="0"/>
          <w:pgNumType w:start="0"/>
          <w:cols w:space="720"/>
          <w:titlePg/>
          <w:docGrid w:linePitch="360"/>
        </w:sectPr>
      </w:pPr>
    </w:p>
    <w:p w14:paraId="61A6A01B" w14:textId="4AB3FB4B" w:rsidR="006F0B4D" w:rsidRPr="00F22F32" w:rsidRDefault="006F0B4D" w:rsidP="006F0B4D">
      <w:pPr>
        <w:tabs>
          <w:tab w:val="left" w:pos="990"/>
        </w:tabs>
        <w:jc w:val="both"/>
        <w:rPr>
          <w:rFonts w:asciiTheme="majorHAnsi" w:hAnsiTheme="majorHAnsi" w:cstheme="majorHAnsi"/>
          <w:b/>
          <w:bCs/>
          <w:sz w:val="20"/>
          <w:szCs w:val="20"/>
        </w:rPr>
      </w:pPr>
      <w:r w:rsidRPr="00F22F32">
        <w:rPr>
          <w:rFonts w:asciiTheme="majorHAnsi" w:hAnsiTheme="majorHAnsi" w:cstheme="majorHAnsi"/>
          <w:b/>
          <w:bCs/>
          <w:sz w:val="20"/>
          <w:szCs w:val="20"/>
        </w:rPr>
        <w:t>Key achievements</w:t>
      </w:r>
    </w:p>
    <w:p w14:paraId="17F0227F" w14:textId="77777777" w:rsidR="000F5C65" w:rsidRPr="00F22F32" w:rsidRDefault="000F5C65" w:rsidP="000F5C65">
      <w:pPr>
        <w:jc w:val="both"/>
        <w:rPr>
          <w:rFonts w:asciiTheme="majorHAnsi" w:eastAsia="Calibri" w:hAnsiTheme="majorHAnsi" w:cstheme="majorHAnsi"/>
          <w:sz w:val="20"/>
          <w:szCs w:val="20"/>
        </w:rPr>
      </w:pPr>
      <w:r w:rsidRPr="00F22F32">
        <w:rPr>
          <w:rFonts w:asciiTheme="majorHAnsi" w:eastAsia="Calibri" w:hAnsiTheme="majorHAnsi" w:cstheme="majorHAnsi"/>
          <w:sz w:val="20"/>
          <w:szCs w:val="20"/>
        </w:rPr>
        <w:t>The UN continued to support national and sub-national systems and institutions to enhance economic policy coherence and implemented providing financial and technical support on a variety of interventions</w:t>
      </w:r>
      <w:r w:rsidRPr="00F22F32">
        <w:rPr>
          <w:rStyle w:val="FootnoteReference"/>
          <w:rFonts w:asciiTheme="majorHAnsi" w:eastAsia="Calibri" w:hAnsiTheme="majorHAnsi" w:cstheme="majorHAnsi"/>
          <w:sz w:val="20"/>
          <w:szCs w:val="20"/>
        </w:rPr>
        <w:footnoteReference w:id="4"/>
      </w:r>
      <w:r w:rsidRPr="00F22F32">
        <w:rPr>
          <w:rFonts w:asciiTheme="majorHAnsi" w:eastAsia="Calibri" w:hAnsiTheme="majorHAnsi" w:cstheme="majorHAnsi"/>
          <w:sz w:val="20"/>
          <w:szCs w:val="20"/>
        </w:rPr>
        <w:t xml:space="preserve">. Furthermore, the UN continues to promote the enhancement of the business environment, competitiveness and employment </w:t>
      </w:r>
      <w:r w:rsidRPr="00F22F32">
        <w:rPr>
          <w:rFonts w:asciiTheme="majorHAnsi" w:eastAsia="Calibri" w:hAnsiTheme="majorHAnsi" w:cstheme="majorHAnsi"/>
          <w:sz w:val="20"/>
          <w:szCs w:val="20"/>
        </w:rPr>
        <w:t>creation in the country</w:t>
      </w:r>
      <w:r w:rsidRPr="00F22F32">
        <w:rPr>
          <w:rStyle w:val="FootnoteReference"/>
          <w:rFonts w:asciiTheme="majorHAnsi" w:eastAsia="Calibri" w:hAnsiTheme="majorHAnsi" w:cstheme="majorHAnsi"/>
          <w:sz w:val="20"/>
          <w:szCs w:val="20"/>
        </w:rPr>
        <w:footnoteReference w:id="5"/>
      </w:r>
      <w:r w:rsidRPr="00F22F32">
        <w:rPr>
          <w:rFonts w:asciiTheme="majorHAnsi" w:eastAsia="Calibri" w:hAnsiTheme="majorHAnsi" w:cstheme="majorHAnsi"/>
          <w:sz w:val="20"/>
          <w:szCs w:val="20"/>
        </w:rPr>
        <w:t xml:space="preserve">. </w:t>
      </w:r>
    </w:p>
    <w:p w14:paraId="1D7F604E" w14:textId="77777777" w:rsidR="000F5C65" w:rsidRPr="00F22F32" w:rsidRDefault="000F5C65" w:rsidP="000F5C65">
      <w:pPr>
        <w:jc w:val="both"/>
        <w:rPr>
          <w:rFonts w:asciiTheme="majorHAnsi" w:eastAsia="Calibri" w:hAnsiTheme="majorHAnsi" w:cstheme="majorHAnsi"/>
          <w:sz w:val="20"/>
          <w:szCs w:val="20"/>
        </w:rPr>
      </w:pPr>
    </w:p>
    <w:p w14:paraId="03949DA3" w14:textId="726811CA" w:rsidR="000F5C65" w:rsidRPr="00F22F32" w:rsidRDefault="000F5C65" w:rsidP="000F5C65">
      <w:pPr>
        <w:jc w:val="both"/>
        <w:rPr>
          <w:rFonts w:asciiTheme="majorHAnsi" w:hAnsiTheme="majorHAnsi" w:cstheme="majorHAnsi"/>
          <w:sz w:val="20"/>
          <w:szCs w:val="20"/>
        </w:rPr>
      </w:pPr>
      <w:r w:rsidRPr="00F22F32">
        <w:rPr>
          <w:rFonts w:asciiTheme="majorHAnsi" w:eastAsia="Calibri" w:hAnsiTheme="majorHAnsi" w:cstheme="majorHAnsi"/>
          <w:sz w:val="20"/>
          <w:szCs w:val="20"/>
        </w:rPr>
        <w:t>The UN also conducted a variety of assessments and research in the areas of COVID-19 recovery, identification value chains for commodities with the strongest potential for regional and global trade</w:t>
      </w:r>
      <w:r w:rsidRPr="00F22F32">
        <w:rPr>
          <w:rStyle w:val="FootnoteReference"/>
          <w:rFonts w:asciiTheme="majorHAnsi" w:eastAsia="Calibri" w:hAnsiTheme="majorHAnsi" w:cstheme="majorHAnsi"/>
          <w:sz w:val="20"/>
          <w:szCs w:val="20"/>
        </w:rPr>
        <w:footnoteReference w:id="6"/>
      </w:r>
      <w:r w:rsidRPr="00F22F32">
        <w:rPr>
          <w:rFonts w:asciiTheme="majorHAnsi" w:eastAsia="Calibri" w:hAnsiTheme="majorHAnsi" w:cstheme="majorHAnsi"/>
          <w:sz w:val="20"/>
          <w:szCs w:val="20"/>
        </w:rPr>
        <w:t xml:space="preserve">. Furthermore, the </w:t>
      </w:r>
      <w:r w:rsidRPr="00F22F32">
        <w:rPr>
          <w:rFonts w:asciiTheme="majorHAnsi" w:hAnsiTheme="majorHAnsi" w:cstheme="majorHAnsi"/>
          <w:sz w:val="20"/>
          <w:szCs w:val="20"/>
        </w:rPr>
        <w:t>UN strengthened the capacity of institutions across sectors in data analysis</w:t>
      </w:r>
      <w:r w:rsidRPr="00F22F32">
        <w:rPr>
          <w:rStyle w:val="FootnoteReference"/>
          <w:rFonts w:asciiTheme="majorHAnsi" w:hAnsiTheme="majorHAnsi" w:cstheme="majorHAnsi"/>
          <w:sz w:val="20"/>
          <w:szCs w:val="20"/>
        </w:rPr>
        <w:footnoteReference w:id="7"/>
      </w:r>
      <w:r w:rsidRPr="00F22F32">
        <w:rPr>
          <w:rFonts w:asciiTheme="majorHAnsi" w:hAnsiTheme="majorHAnsi" w:cstheme="majorHAnsi"/>
          <w:sz w:val="20"/>
          <w:szCs w:val="20"/>
        </w:rPr>
        <w:t xml:space="preserve">. </w:t>
      </w:r>
    </w:p>
    <w:p w14:paraId="10C7A28C" w14:textId="77777777" w:rsidR="0098602C" w:rsidRDefault="0098602C" w:rsidP="000F5C65">
      <w:pPr>
        <w:pStyle w:val="NormalWeb"/>
        <w:spacing w:before="0" w:beforeAutospacing="0" w:after="0" w:afterAutospacing="0"/>
        <w:jc w:val="both"/>
        <w:rPr>
          <w:rFonts w:asciiTheme="majorHAnsi" w:hAnsiTheme="majorHAnsi" w:cstheme="majorHAnsi"/>
          <w:b/>
          <w:bCs/>
          <w:sz w:val="20"/>
          <w:szCs w:val="20"/>
          <w:lang w:val="en-US"/>
        </w:rPr>
        <w:sectPr w:rsidR="0098602C" w:rsidSect="0098602C">
          <w:type w:val="continuous"/>
          <w:pgSz w:w="12240" w:h="15840"/>
          <w:pgMar w:top="1440" w:right="1440" w:bottom="1440" w:left="1440" w:header="720" w:footer="720" w:gutter="0"/>
          <w:pgNumType w:start="0"/>
          <w:cols w:num="2" w:space="720"/>
          <w:titlePg/>
          <w:docGrid w:linePitch="360"/>
        </w:sectPr>
      </w:pPr>
    </w:p>
    <w:p w14:paraId="2C5548AF" w14:textId="5160FC9B" w:rsidR="000F5C65" w:rsidRPr="00F22F32" w:rsidRDefault="000F5C65" w:rsidP="000F5C65">
      <w:pPr>
        <w:pStyle w:val="NormalWeb"/>
        <w:spacing w:before="0" w:beforeAutospacing="0" w:after="0" w:afterAutospacing="0"/>
        <w:jc w:val="both"/>
        <w:rPr>
          <w:rFonts w:asciiTheme="majorHAnsi" w:hAnsiTheme="majorHAnsi" w:cstheme="majorHAnsi"/>
          <w:b/>
          <w:bCs/>
          <w:sz w:val="20"/>
          <w:szCs w:val="20"/>
          <w:lang w:val="en-US"/>
        </w:rPr>
      </w:pPr>
    </w:p>
    <w:p w14:paraId="2258A3AF" w14:textId="38E3FD29" w:rsidR="000F5C65" w:rsidRDefault="000F5C65" w:rsidP="00AE6F94"/>
    <w:p w14:paraId="1D73E051" w14:textId="77777777" w:rsidR="00EF5D24" w:rsidRPr="00F22F32" w:rsidRDefault="00EF5D24" w:rsidP="00AE6F94"/>
    <w:p w14:paraId="477D53CC" w14:textId="2E048324" w:rsidR="000F5C65" w:rsidRPr="00F22F32" w:rsidRDefault="000F5C65" w:rsidP="00AE6F94"/>
    <w:p w14:paraId="7E27C13C" w14:textId="55B39F56" w:rsidR="000F5C65" w:rsidRDefault="000F5C65" w:rsidP="00AE6F94"/>
    <w:p w14:paraId="66F49535" w14:textId="0C637D32" w:rsidR="0098602C" w:rsidRDefault="0098602C" w:rsidP="00AE6F94"/>
    <w:p w14:paraId="5FC690E6" w14:textId="77777777" w:rsidR="0098602C" w:rsidRPr="00F22F32" w:rsidRDefault="0098602C" w:rsidP="00AE6F94"/>
    <w:p w14:paraId="1974D7B7" w14:textId="77777777" w:rsidR="000F5C65" w:rsidRPr="00F22F32" w:rsidRDefault="000F5C65" w:rsidP="00AE6F94"/>
    <w:p w14:paraId="0A3C33FF" w14:textId="38C44416" w:rsidR="00F06DB7" w:rsidRPr="00F22F32" w:rsidRDefault="00F06DB7" w:rsidP="002B288E">
      <w:pPr>
        <w:pStyle w:val="Heading3"/>
        <w:numPr>
          <w:ilvl w:val="0"/>
          <w:numId w:val="57"/>
        </w:numPr>
        <w:ind w:left="720" w:hanging="360"/>
        <w:rPr>
          <w:rFonts w:eastAsia="Times New Roman"/>
          <w:b/>
          <w:bCs/>
          <w:color w:val="auto"/>
          <w:sz w:val="20"/>
          <w:szCs w:val="20"/>
        </w:rPr>
      </w:pPr>
      <w:bookmarkStart w:id="14" w:name="_Toc71207071"/>
      <w:r w:rsidRPr="00F22F32">
        <w:rPr>
          <w:rFonts w:eastAsia="Times New Roman"/>
          <w:b/>
          <w:bCs/>
          <w:color w:val="auto"/>
          <w:sz w:val="20"/>
          <w:szCs w:val="20"/>
        </w:rPr>
        <w:lastRenderedPageBreak/>
        <w:t>EDUCATION</w:t>
      </w:r>
      <w:bookmarkEnd w:id="14"/>
    </w:p>
    <w:p w14:paraId="42A38318" w14:textId="4AA0EE2C" w:rsidR="00F06DB7" w:rsidRPr="00F22F32" w:rsidRDefault="00F06DB7" w:rsidP="00F06DB7">
      <w:pPr>
        <w:pStyle w:val="NormalWeb"/>
        <w:spacing w:before="0" w:beforeAutospacing="0" w:after="0" w:afterAutospacing="0"/>
        <w:jc w:val="both"/>
        <w:rPr>
          <w:rFonts w:asciiTheme="majorHAnsi" w:hAnsiTheme="majorHAnsi" w:cstheme="majorHAnsi"/>
          <w:b/>
          <w:bCs/>
          <w:sz w:val="20"/>
          <w:szCs w:val="20"/>
          <w:lang w:val="en-GB"/>
        </w:rPr>
      </w:pPr>
    </w:p>
    <w:p w14:paraId="1ADDEC06" w14:textId="5933CBA7" w:rsidR="00A1456B" w:rsidRPr="00F22F32" w:rsidRDefault="00A1456B" w:rsidP="00F06DB7">
      <w:pPr>
        <w:pStyle w:val="NormalWeb"/>
        <w:spacing w:before="0" w:beforeAutospacing="0" w:after="0" w:afterAutospacing="0"/>
        <w:jc w:val="both"/>
        <w:rPr>
          <w:rFonts w:asciiTheme="majorHAnsi" w:hAnsiTheme="majorHAnsi" w:cstheme="majorHAnsi"/>
          <w:b/>
          <w:bCs/>
          <w:sz w:val="20"/>
          <w:szCs w:val="20"/>
          <w:lang w:val="en-GB"/>
        </w:rPr>
      </w:pPr>
      <w:r>
        <w:rPr>
          <w:noProof/>
        </w:rPr>
        <w:drawing>
          <wp:inline distT="0" distB="0" distL="0" distR="0" wp14:anchorId="5358C147" wp14:editId="660E9F42">
            <wp:extent cx="5987555" cy="3116275"/>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46">
                      <a:extLst>
                        <a:ext uri="{28A0092B-C50C-407E-A947-70E740481C1C}">
                          <a14:useLocalDpi xmlns:a14="http://schemas.microsoft.com/office/drawing/2010/main" val="0"/>
                        </a:ext>
                      </a:extLst>
                    </a:blip>
                    <a:stretch>
                      <a:fillRect/>
                    </a:stretch>
                  </pic:blipFill>
                  <pic:spPr>
                    <a:xfrm>
                      <a:off x="0" y="0"/>
                      <a:ext cx="5987555" cy="3116275"/>
                    </a:xfrm>
                    <a:prstGeom prst="rect">
                      <a:avLst/>
                    </a:prstGeom>
                  </pic:spPr>
                </pic:pic>
              </a:graphicData>
            </a:graphic>
          </wp:inline>
        </w:drawing>
      </w:r>
    </w:p>
    <w:p w14:paraId="2B671EB4" w14:textId="77777777" w:rsidR="00A1456B" w:rsidRPr="00F22F32" w:rsidRDefault="00A1456B" w:rsidP="00F06DB7">
      <w:pPr>
        <w:pStyle w:val="NormalWeb"/>
        <w:spacing w:before="0" w:beforeAutospacing="0" w:after="0" w:afterAutospacing="0"/>
        <w:jc w:val="both"/>
        <w:rPr>
          <w:rFonts w:asciiTheme="majorHAnsi" w:hAnsiTheme="majorHAnsi" w:cstheme="majorHAnsi"/>
          <w:b/>
          <w:bCs/>
          <w:sz w:val="20"/>
          <w:szCs w:val="20"/>
          <w:lang w:val="en-GB"/>
        </w:rPr>
      </w:pPr>
    </w:p>
    <w:p w14:paraId="3D8945DB" w14:textId="77777777" w:rsidR="0098602C" w:rsidRDefault="0098602C" w:rsidP="006F0B4D">
      <w:pPr>
        <w:tabs>
          <w:tab w:val="left" w:pos="990"/>
        </w:tabs>
        <w:jc w:val="both"/>
        <w:rPr>
          <w:rFonts w:asciiTheme="majorHAnsi" w:hAnsiTheme="majorHAnsi" w:cstheme="majorHAnsi"/>
          <w:b/>
          <w:bCs/>
          <w:sz w:val="20"/>
          <w:szCs w:val="20"/>
        </w:rPr>
        <w:sectPr w:rsidR="0098602C" w:rsidSect="005B27FF">
          <w:type w:val="continuous"/>
          <w:pgSz w:w="12240" w:h="15840"/>
          <w:pgMar w:top="1440" w:right="1440" w:bottom="1440" w:left="1440" w:header="720" w:footer="720" w:gutter="0"/>
          <w:pgNumType w:start="0"/>
          <w:cols w:space="720"/>
          <w:titlePg/>
          <w:docGrid w:linePitch="360"/>
        </w:sectPr>
      </w:pPr>
    </w:p>
    <w:p w14:paraId="792344C0" w14:textId="5FB1A810" w:rsidR="006F0B4D" w:rsidRPr="00F22F32" w:rsidRDefault="006F0B4D" w:rsidP="006F0B4D">
      <w:pPr>
        <w:tabs>
          <w:tab w:val="left" w:pos="990"/>
        </w:tabs>
        <w:jc w:val="both"/>
        <w:rPr>
          <w:rFonts w:asciiTheme="majorHAnsi" w:hAnsiTheme="majorHAnsi" w:cstheme="majorHAnsi"/>
          <w:b/>
          <w:bCs/>
          <w:sz w:val="20"/>
          <w:szCs w:val="20"/>
        </w:rPr>
      </w:pPr>
      <w:r w:rsidRPr="00F22F32">
        <w:rPr>
          <w:rFonts w:asciiTheme="majorHAnsi" w:hAnsiTheme="majorHAnsi" w:cstheme="majorHAnsi"/>
          <w:b/>
          <w:bCs/>
          <w:sz w:val="20"/>
          <w:szCs w:val="20"/>
        </w:rPr>
        <w:t>Key achievements</w:t>
      </w:r>
    </w:p>
    <w:p w14:paraId="7CEB326A" w14:textId="77777777" w:rsidR="00595099" w:rsidRPr="00F22F32" w:rsidRDefault="00595099" w:rsidP="00595099">
      <w:pPr>
        <w:jc w:val="both"/>
        <w:rPr>
          <w:rFonts w:asciiTheme="majorHAnsi" w:eastAsia="Times New Roman" w:hAnsiTheme="majorHAnsi" w:cstheme="majorHAnsi"/>
          <w:sz w:val="20"/>
          <w:szCs w:val="20"/>
        </w:rPr>
      </w:pPr>
      <w:bookmarkStart w:id="15" w:name="_Hlk70597619"/>
      <w:r w:rsidRPr="00F22F32">
        <w:rPr>
          <w:rFonts w:asciiTheme="majorHAnsi" w:eastAsia="Times New Roman" w:hAnsiTheme="majorHAnsi" w:cstheme="majorHAnsi"/>
          <w:sz w:val="20"/>
          <w:szCs w:val="20"/>
        </w:rPr>
        <w:t xml:space="preserve">to benefit from UN’s support to develop, implement, and monitor the 10-year Mozambique Education Sector Plan (ESP) (2020-2029) and its Operational Plan (2020-2022). </w:t>
      </w:r>
    </w:p>
    <w:p w14:paraId="65F9FE19" w14:textId="77777777" w:rsidR="00595099" w:rsidRPr="00F22F32" w:rsidRDefault="00595099" w:rsidP="00595099">
      <w:pPr>
        <w:jc w:val="both"/>
        <w:rPr>
          <w:rFonts w:asciiTheme="majorHAnsi" w:eastAsia="Times New Roman" w:hAnsiTheme="majorHAnsi" w:cstheme="majorHAnsi"/>
          <w:sz w:val="20"/>
          <w:szCs w:val="20"/>
        </w:rPr>
      </w:pPr>
    </w:p>
    <w:p w14:paraId="4295ED02" w14:textId="77777777" w:rsidR="00595099" w:rsidRPr="00F22F32" w:rsidRDefault="00595099" w:rsidP="00595099">
      <w:pPr>
        <w:jc w:val="both"/>
        <w:rPr>
          <w:rFonts w:asciiTheme="majorHAnsi" w:eastAsia="Times New Roman" w:hAnsiTheme="majorHAnsi" w:cstheme="majorHAnsi"/>
          <w:sz w:val="20"/>
          <w:szCs w:val="20"/>
        </w:rPr>
      </w:pPr>
      <w:r w:rsidRPr="00F22F32">
        <w:rPr>
          <w:rFonts w:asciiTheme="majorHAnsi" w:eastAsia="Times New Roman" w:hAnsiTheme="majorHAnsi" w:cstheme="majorHAnsi"/>
          <w:sz w:val="20"/>
          <w:szCs w:val="20"/>
        </w:rPr>
        <w:t xml:space="preserve">The UN supported MINEDH to respond to school closure due to COVID-19, ensuring learning continuity for children, youth and adults, through the provision of remote learning including radio and TV broadcasts, from early childhood education to adult education programs and the provision of an Accelerated School Readiness (ASR) Program. Furthermore, the UN continued its supported to MINEDH in implementing school feeding interventions, reaching 2.6% of total students. </w:t>
      </w:r>
    </w:p>
    <w:p w14:paraId="0CB23D19" w14:textId="77777777" w:rsidR="00595099" w:rsidRPr="00F22F32" w:rsidRDefault="00595099" w:rsidP="00595099">
      <w:pPr>
        <w:jc w:val="both"/>
        <w:rPr>
          <w:rFonts w:asciiTheme="majorHAnsi" w:eastAsia="Times New Roman" w:hAnsiTheme="majorHAnsi" w:cstheme="majorHAnsi"/>
          <w:sz w:val="20"/>
          <w:szCs w:val="20"/>
        </w:rPr>
      </w:pPr>
    </w:p>
    <w:p w14:paraId="75807070" w14:textId="7FEC9E32" w:rsidR="00F06DB7" w:rsidRPr="00F22F32" w:rsidRDefault="00595099" w:rsidP="00EF5D24">
      <w:pPr>
        <w:jc w:val="both"/>
        <w:rPr>
          <w:rFonts w:asciiTheme="majorHAnsi" w:eastAsia="Calibri" w:hAnsiTheme="majorHAnsi" w:cstheme="majorHAnsi"/>
          <w:bCs/>
          <w:iCs/>
          <w:sz w:val="20"/>
          <w:szCs w:val="20"/>
        </w:rPr>
      </w:pPr>
      <w:r w:rsidRPr="00F22F32">
        <w:rPr>
          <w:rFonts w:asciiTheme="majorHAnsi" w:eastAsia="Times New Roman" w:hAnsiTheme="majorHAnsi" w:cstheme="majorHAnsi"/>
          <w:sz w:val="20"/>
          <w:szCs w:val="20"/>
        </w:rPr>
        <w:t>The UN continued to support the development of MINEDH capacity in various areas. The Government’s capacity to deal with Violence Against Children in schools was strengthened, including the approval by MINEDH of the policy</w:t>
      </w:r>
      <w:r w:rsidRPr="00F22F32">
        <w:rPr>
          <w:rStyle w:val="FootnoteReference"/>
          <w:rFonts w:asciiTheme="majorHAnsi" w:eastAsia="Times New Roman" w:hAnsiTheme="majorHAnsi" w:cstheme="majorHAnsi"/>
          <w:sz w:val="20"/>
          <w:szCs w:val="20"/>
        </w:rPr>
        <w:footnoteReference w:id="8"/>
      </w:r>
      <w:r w:rsidRPr="00F22F32">
        <w:rPr>
          <w:rFonts w:asciiTheme="majorHAnsi" w:eastAsia="Times New Roman" w:hAnsiTheme="majorHAnsi" w:cstheme="majorHAnsi"/>
          <w:sz w:val="20"/>
          <w:szCs w:val="20"/>
        </w:rPr>
        <w:t xml:space="preserve"> for reporting and referral mechanism for cases of violence occurring in schools and training of focal points for gender and health. Furthermore, MINEDH strengthened the existing platforms for adolescents and young people to engage on issues related to Comprehensive Sexuality </w:t>
      </w:r>
      <w:r w:rsidRPr="00F22F32">
        <w:rPr>
          <w:rFonts w:asciiTheme="majorHAnsi" w:eastAsia="Times New Roman" w:hAnsiTheme="majorHAnsi" w:cstheme="majorHAnsi"/>
          <w:sz w:val="20"/>
          <w:szCs w:val="20"/>
        </w:rPr>
        <w:t xml:space="preserve">Education (CSE) and contributed to build capacity of teachers, health workers and social workers  on referral mechanisms at school to support survivors of School Related Gender Base Violence. </w:t>
      </w:r>
    </w:p>
    <w:p w14:paraId="5FCFB233" w14:textId="77F249C2" w:rsidR="00595099" w:rsidRPr="00F22F32" w:rsidRDefault="00595099" w:rsidP="00F06DB7">
      <w:pPr>
        <w:shd w:val="clear" w:color="auto" w:fill="FFFFFF"/>
        <w:jc w:val="both"/>
        <w:rPr>
          <w:rFonts w:asciiTheme="majorHAnsi" w:eastAsia="Calibri" w:hAnsiTheme="majorHAnsi" w:cstheme="majorHAnsi"/>
          <w:bCs/>
          <w:iCs/>
          <w:sz w:val="20"/>
          <w:szCs w:val="20"/>
        </w:rPr>
      </w:pPr>
    </w:p>
    <w:p w14:paraId="25047CEE" w14:textId="0242E43D" w:rsidR="00595099" w:rsidRPr="00AE4DF9" w:rsidRDefault="00AE4DF9" w:rsidP="00F06DB7">
      <w:pPr>
        <w:shd w:val="clear" w:color="auto" w:fill="FFFFFF"/>
        <w:jc w:val="both"/>
        <w:rPr>
          <w:rFonts w:asciiTheme="majorHAnsi" w:eastAsia="Calibri" w:hAnsiTheme="majorHAnsi" w:cstheme="majorHAnsi"/>
          <w:b/>
          <w:iCs/>
          <w:sz w:val="20"/>
          <w:szCs w:val="20"/>
        </w:rPr>
      </w:pPr>
      <w:r w:rsidRPr="00AE4DF9">
        <w:rPr>
          <w:rFonts w:asciiTheme="majorHAnsi" w:eastAsia="Calibri" w:hAnsiTheme="majorHAnsi" w:cstheme="majorHAnsi"/>
          <w:b/>
          <w:iCs/>
          <w:sz w:val="20"/>
          <w:szCs w:val="20"/>
        </w:rPr>
        <w:t>Television is helping the learning continuity of children during COVID-19</w:t>
      </w:r>
    </w:p>
    <w:p w14:paraId="5B3A99F4" w14:textId="554E7203" w:rsidR="00AE4DF9" w:rsidRDefault="00454B47" w:rsidP="00F06DB7">
      <w:pPr>
        <w:shd w:val="clear" w:color="auto" w:fill="FFFFFF"/>
        <w:jc w:val="both"/>
        <w:rPr>
          <w:rFonts w:asciiTheme="majorHAnsi" w:eastAsia="Calibri" w:hAnsiTheme="majorHAnsi" w:cstheme="majorHAnsi"/>
          <w:bCs/>
          <w:iCs/>
          <w:sz w:val="20"/>
          <w:szCs w:val="20"/>
        </w:rPr>
      </w:pPr>
      <w:r w:rsidRPr="00454B47">
        <w:rPr>
          <w:rFonts w:asciiTheme="majorHAnsi" w:eastAsia="Calibri" w:hAnsiTheme="majorHAnsi" w:cstheme="majorHAnsi"/>
          <w:b/>
          <w:iCs/>
          <w:sz w:val="20"/>
          <w:szCs w:val="20"/>
        </w:rPr>
        <w:t>MAPUTO, Mozambique</w:t>
      </w:r>
      <w:r w:rsidRPr="00454B47">
        <w:rPr>
          <w:rFonts w:asciiTheme="majorHAnsi" w:eastAsia="Calibri" w:hAnsiTheme="majorHAnsi" w:cstheme="majorHAnsi"/>
          <w:bCs/>
          <w:iCs/>
          <w:sz w:val="20"/>
          <w:szCs w:val="20"/>
        </w:rPr>
        <w:t xml:space="preserve"> – “We miss our teachers, they were really nice and helped us solve our exercises, but with the coronavirus we need to adapt and learn to solve our exercises alone at home,” said 17-year-old Alzira Ngomane and her 14-year-old brother Amilcar Ngomane, in the neighborhood of Albazine, in Maputo City. Since their school was closed in March 2020, as a preventive measure due to the COVID-19 pandemic, they are now studying at home using the Telescola television programme from the national TV station TVM.</w:t>
      </w:r>
    </w:p>
    <w:p w14:paraId="3D78CD1C" w14:textId="77777777" w:rsidR="00C9052A" w:rsidRPr="00F22F32" w:rsidRDefault="00C9052A" w:rsidP="00F06DB7">
      <w:pPr>
        <w:shd w:val="clear" w:color="auto" w:fill="FFFFFF"/>
        <w:jc w:val="both"/>
        <w:rPr>
          <w:rFonts w:asciiTheme="majorHAnsi" w:eastAsia="Calibri" w:hAnsiTheme="majorHAnsi" w:cstheme="majorHAnsi"/>
          <w:bCs/>
          <w:iCs/>
          <w:sz w:val="20"/>
          <w:szCs w:val="20"/>
        </w:rPr>
      </w:pPr>
    </w:p>
    <w:p w14:paraId="40D42D30" w14:textId="3B792646" w:rsidR="00595099" w:rsidRDefault="00C9052A" w:rsidP="00F06DB7">
      <w:pPr>
        <w:shd w:val="clear" w:color="auto" w:fill="FFFFFF"/>
        <w:jc w:val="both"/>
        <w:rPr>
          <w:rFonts w:asciiTheme="majorHAnsi" w:eastAsia="Calibri" w:hAnsiTheme="majorHAnsi" w:cstheme="majorHAnsi"/>
          <w:bCs/>
          <w:iCs/>
          <w:sz w:val="20"/>
          <w:szCs w:val="20"/>
        </w:rPr>
      </w:pPr>
      <w:r w:rsidRPr="00C9052A">
        <w:rPr>
          <w:rFonts w:asciiTheme="majorHAnsi" w:eastAsia="Calibri" w:hAnsiTheme="majorHAnsi" w:cstheme="majorHAnsi"/>
          <w:bCs/>
          <w:iCs/>
          <w:sz w:val="20"/>
          <w:szCs w:val="20"/>
        </w:rPr>
        <w:t xml:space="preserve">Every afternoon, for 30 minutes, Alzira and Amilcar place their notebooks on the small wooden table in their living room and turn on their television to accompany the lessons transmitted by the national TV station TVM, every day from 3 pm. They both recognize that it is not the same as being in a classroom with their classmates, and despite the short time they manage to remember some subjects and do </w:t>
      </w:r>
      <w:r w:rsidRPr="00C9052A">
        <w:rPr>
          <w:rFonts w:asciiTheme="majorHAnsi" w:eastAsia="Calibri" w:hAnsiTheme="majorHAnsi" w:cstheme="majorHAnsi"/>
          <w:bCs/>
          <w:iCs/>
          <w:sz w:val="20"/>
          <w:szCs w:val="20"/>
        </w:rPr>
        <w:lastRenderedPageBreak/>
        <w:t>their exercises.</w:t>
      </w:r>
    </w:p>
    <w:p w14:paraId="31BE13A9" w14:textId="40998028" w:rsidR="00C9052A" w:rsidRDefault="00C9052A" w:rsidP="00F06DB7">
      <w:pPr>
        <w:shd w:val="clear" w:color="auto" w:fill="FFFFFF"/>
        <w:jc w:val="both"/>
        <w:rPr>
          <w:rFonts w:asciiTheme="majorHAnsi" w:eastAsia="Calibri" w:hAnsiTheme="majorHAnsi" w:cstheme="majorHAnsi"/>
          <w:bCs/>
          <w:iCs/>
          <w:sz w:val="20"/>
          <w:szCs w:val="20"/>
        </w:rPr>
      </w:pPr>
      <w:r w:rsidRPr="00C9052A">
        <w:rPr>
          <w:rFonts w:asciiTheme="majorHAnsi" w:eastAsia="Calibri" w:hAnsiTheme="majorHAnsi" w:cstheme="majorHAnsi"/>
          <w:bCs/>
          <w:iCs/>
          <w:sz w:val="20"/>
          <w:szCs w:val="20"/>
        </w:rPr>
        <w:t>Alzira studies at Escola Secundária Eduardo Mondlane at 12th grade, and dreams of becoming a Civil Engineer. Her school closed 6 months ago when the Government of Mozambique declared the State of Emergency due to the coronavirus. "I try to maintain a routine while at home, I wake up and do my</w:t>
      </w:r>
      <w:r w:rsidR="00501593">
        <w:rPr>
          <w:rFonts w:asciiTheme="majorHAnsi" w:eastAsia="Calibri" w:hAnsiTheme="majorHAnsi" w:cstheme="majorHAnsi"/>
          <w:bCs/>
          <w:iCs/>
          <w:sz w:val="20"/>
          <w:szCs w:val="20"/>
        </w:rPr>
        <w:t xml:space="preserve"> </w:t>
      </w:r>
      <w:r w:rsidR="00501593" w:rsidRPr="00501593">
        <w:rPr>
          <w:rFonts w:asciiTheme="majorHAnsi" w:eastAsia="Calibri" w:hAnsiTheme="majorHAnsi" w:cstheme="majorHAnsi"/>
          <w:bCs/>
          <w:iCs/>
          <w:sz w:val="20"/>
          <w:szCs w:val="20"/>
        </w:rPr>
        <w:t>house chores, then I study with the Telescola. Without the Telescola, it would be difficult to understand the subjects and solve the exercises, the teachers who participate in the Telescola clarify many of my questions, and I manage to make the home work they give at school and understand the subject better," said Alzira.</w:t>
      </w:r>
    </w:p>
    <w:p w14:paraId="5BD66375" w14:textId="72919DE4" w:rsidR="00501593" w:rsidRDefault="00501593" w:rsidP="00F06DB7">
      <w:pPr>
        <w:shd w:val="clear" w:color="auto" w:fill="FFFFFF"/>
        <w:jc w:val="both"/>
        <w:rPr>
          <w:rFonts w:asciiTheme="majorHAnsi" w:eastAsia="Calibri" w:hAnsiTheme="majorHAnsi" w:cstheme="majorHAnsi"/>
          <w:bCs/>
          <w:iCs/>
          <w:sz w:val="20"/>
          <w:szCs w:val="20"/>
        </w:rPr>
      </w:pPr>
    </w:p>
    <w:p w14:paraId="0FED5567" w14:textId="77777777" w:rsidR="00934A7C" w:rsidRDefault="00934A7C" w:rsidP="00934A7C">
      <w:pPr>
        <w:shd w:val="clear" w:color="auto" w:fill="FFFFFF"/>
        <w:jc w:val="both"/>
        <w:rPr>
          <w:rFonts w:asciiTheme="majorHAnsi" w:eastAsia="Calibri" w:hAnsiTheme="majorHAnsi" w:cstheme="majorHAnsi"/>
          <w:bCs/>
          <w:iCs/>
          <w:sz w:val="20"/>
          <w:szCs w:val="20"/>
        </w:rPr>
      </w:pPr>
      <w:r w:rsidRPr="000E653C">
        <w:rPr>
          <w:rFonts w:asciiTheme="majorHAnsi" w:eastAsia="Calibri" w:hAnsiTheme="majorHAnsi" w:cstheme="majorHAnsi"/>
          <w:bCs/>
          <w:iCs/>
          <w:noProof/>
          <w:sz w:val="20"/>
          <w:szCs w:val="20"/>
        </w:rPr>
        <w:drawing>
          <wp:inline distT="0" distB="0" distL="0" distR="0" wp14:anchorId="477D837D" wp14:editId="1676FDA2">
            <wp:extent cx="2798082" cy="1860605"/>
            <wp:effectExtent l="0" t="0" r="254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33926" cy="1884440"/>
                    </a:xfrm>
                    <a:prstGeom prst="rect">
                      <a:avLst/>
                    </a:prstGeom>
                    <a:noFill/>
                    <a:ln>
                      <a:noFill/>
                    </a:ln>
                  </pic:spPr>
                </pic:pic>
              </a:graphicData>
            </a:graphic>
          </wp:inline>
        </w:drawing>
      </w:r>
    </w:p>
    <w:p w14:paraId="1EF210DC" w14:textId="77777777" w:rsidR="00934A7C" w:rsidRPr="00A26768" w:rsidRDefault="00934A7C" w:rsidP="00934A7C">
      <w:pPr>
        <w:shd w:val="clear" w:color="auto" w:fill="FFFFFF"/>
        <w:jc w:val="both"/>
        <w:rPr>
          <w:rFonts w:asciiTheme="majorHAnsi" w:eastAsia="Calibri" w:hAnsiTheme="majorHAnsi" w:cstheme="majorHAnsi"/>
          <w:bCs/>
          <w:i/>
          <w:sz w:val="20"/>
          <w:szCs w:val="20"/>
        </w:rPr>
      </w:pPr>
      <w:r w:rsidRPr="00A26768">
        <w:rPr>
          <w:rFonts w:asciiTheme="majorHAnsi" w:eastAsia="Calibri" w:hAnsiTheme="majorHAnsi" w:cstheme="majorHAnsi"/>
          <w:bCs/>
          <w:i/>
          <w:sz w:val="20"/>
          <w:szCs w:val="20"/>
        </w:rPr>
        <w:t xml:space="preserve">17-year-old Alzira Ngomane, and her 14-year-old brother Amilcar Ngomane, study at home using the </w:t>
      </w:r>
      <w:r w:rsidRPr="00A26768">
        <w:rPr>
          <w:rFonts w:asciiTheme="majorHAnsi" w:eastAsia="Calibri" w:hAnsiTheme="majorHAnsi" w:cstheme="majorHAnsi"/>
          <w:bCs/>
          <w:i/>
          <w:sz w:val="20"/>
          <w:szCs w:val="20"/>
        </w:rPr>
        <w:t>Telescola television programme since their schools closed due to the COVID-19 pandemic. © UNICEF Mozambique/2020/Claudio Fauvrelle</w:t>
      </w:r>
    </w:p>
    <w:p w14:paraId="2BC9AA28" w14:textId="77777777" w:rsidR="00934A7C" w:rsidRDefault="00934A7C" w:rsidP="00F06DB7">
      <w:pPr>
        <w:shd w:val="clear" w:color="auto" w:fill="FFFFFF"/>
        <w:jc w:val="both"/>
        <w:rPr>
          <w:rFonts w:asciiTheme="majorHAnsi" w:eastAsia="Calibri" w:hAnsiTheme="majorHAnsi" w:cstheme="majorHAnsi"/>
          <w:bCs/>
          <w:iCs/>
          <w:sz w:val="20"/>
          <w:szCs w:val="20"/>
        </w:rPr>
      </w:pPr>
    </w:p>
    <w:p w14:paraId="3DF69E84" w14:textId="7C55C1D3" w:rsidR="00501593" w:rsidRDefault="00501593" w:rsidP="00501593">
      <w:pPr>
        <w:shd w:val="clear" w:color="auto" w:fill="FFFFFF"/>
        <w:jc w:val="both"/>
        <w:rPr>
          <w:rFonts w:asciiTheme="majorHAnsi" w:eastAsia="Calibri" w:hAnsiTheme="majorHAnsi" w:cstheme="majorHAnsi"/>
          <w:bCs/>
          <w:iCs/>
          <w:sz w:val="20"/>
          <w:szCs w:val="20"/>
        </w:rPr>
      </w:pPr>
      <w:r w:rsidRPr="00501593">
        <w:rPr>
          <w:rFonts w:asciiTheme="majorHAnsi" w:eastAsia="Calibri" w:hAnsiTheme="majorHAnsi" w:cstheme="majorHAnsi"/>
          <w:bCs/>
          <w:iCs/>
          <w:sz w:val="20"/>
          <w:szCs w:val="20"/>
        </w:rPr>
        <w:t>"At school it was easier to get answers to my questions because we had the teacher there, at home it’s more difficult to study and concentrate. My dream is to be an architect, because I like to draw. And I know that I need to go to school in order to achieve my dream in the future, and, with the schools closed, the Telescola is helping me to continue studying at home, so that I can continue working towards achieving my dream," said Amilcar.</w:t>
      </w:r>
    </w:p>
    <w:p w14:paraId="5F960789" w14:textId="77777777" w:rsidR="00A26768" w:rsidRPr="00501593" w:rsidRDefault="00A26768" w:rsidP="00501593">
      <w:pPr>
        <w:shd w:val="clear" w:color="auto" w:fill="FFFFFF"/>
        <w:jc w:val="both"/>
        <w:rPr>
          <w:rFonts w:asciiTheme="majorHAnsi" w:eastAsia="Calibri" w:hAnsiTheme="majorHAnsi" w:cstheme="majorHAnsi"/>
          <w:bCs/>
          <w:iCs/>
          <w:sz w:val="20"/>
          <w:szCs w:val="20"/>
        </w:rPr>
      </w:pPr>
    </w:p>
    <w:p w14:paraId="3AF44A48" w14:textId="7E12DDC8" w:rsidR="00501593" w:rsidRDefault="00501593" w:rsidP="00501593">
      <w:pPr>
        <w:shd w:val="clear" w:color="auto" w:fill="FFFFFF"/>
        <w:jc w:val="both"/>
        <w:rPr>
          <w:rFonts w:asciiTheme="majorHAnsi" w:eastAsia="Calibri" w:hAnsiTheme="majorHAnsi" w:cstheme="majorHAnsi"/>
          <w:bCs/>
          <w:iCs/>
          <w:sz w:val="20"/>
          <w:szCs w:val="20"/>
        </w:rPr>
      </w:pPr>
      <w:r w:rsidRPr="00501593">
        <w:rPr>
          <w:rFonts w:asciiTheme="majorHAnsi" w:eastAsia="Calibri" w:hAnsiTheme="majorHAnsi" w:cstheme="majorHAnsi"/>
          <w:bCs/>
          <w:iCs/>
          <w:sz w:val="20"/>
          <w:szCs w:val="20"/>
        </w:rPr>
        <w:t>To support learning continuity of children during the school closure, United Nations Children's Fund (UNICEF), with funding from the Education Cannot Wait (ECW) programme, is supporting Telescola (TV education programme) and radio education programmes, including translating into local languages and broadcasting on community radios. For instance, TVM broadcasts about 1.5 to 2.5 hours of Telescola per day to support the continuity of learning for primary and secondary school children. During COVID-19, school closures and restrictions in movements ensued in Mozambique, hindering the learning of millions of children. Up until September 2020, the Government has yet to decide on the opening of primary and secondary schools.</w:t>
      </w:r>
    </w:p>
    <w:p w14:paraId="62832C9E" w14:textId="77777777" w:rsidR="0098602C" w:rsidRDefault="0098602C" w:rsidP="00501593">
      <w:pPr>
        <w:shd w:val="clear" w:color="auto" w:fill="FFFFFF"/>
        <w:jc w:val="both"/>
        <w:rPr>
          <w:rFonts w:asciiTheme="majorHAnsi" w:eastAsia="Calibri" w:hAnsiTheme="majorHAnsi" w:cstheme="majorHAnsi"/>
          <w:bCs/>
          <w:iCs/>
          <w:sz w:val="20"/>
          <w:szCs w:val="20"/>
        </w:rPr>
        <w:sectPr w:rsidR="0098602C" w:rsidSect="0098602C">
          <w:type w:val="continuous"/>
          <w:pgSz w:w="12240" w:h="15840"/>
          <w:pgMar w:top="1440" w:right="1440" w:bottom="1440" w:left="1440" w:header="720" w:footer="720" w:gutter="0"/>
          <w:pgNumType w:start="0"/>
          <w:cols w:num="2" w:space="720"/>
          <w:titlePg/>
          <w:docGrid w:linePitch="360"/>
        </w:sectPr>
      </w:pPr>
    </w:p>
    <w:p w14:paraId="34D32D67" w14:textId="5649A671" w:rsidR="00A75CFC" w:rsidRDefault="00A75CFC" w:rsidP="00501593">
      <w:pPr>
        <w:shd w:val="clear" w:color="auto" w:fill="FFFFFF"/>
        <w:jc w:val="both"/>
        <w:rPr>
          <w:rFonts w:asciiTheme="majorHAnsi" w:eastAsia="Calibri" w:hAnsiTheme="majorHAnsi" w:cstheme="majorHAnsi"/>
          <w:bCs/>
          <w:iCs/>
          <w:sz w:val="20"/>
          <w:szCs w:val="20"/>
        </w:rPr>
      </w:pPr>
    </w:p>
    <w:p w14:paraId="5509921D" w14:textId="4C1D9DD3" w:rsidR="00595099" w:rsidRPr="00F22F32" w:rsidRDefault="00595099" w:rsidP="00F06DB7">
      <w:pPr>
        <w:shd w:val="clear" w:color="auto" w:fill="FFFFFF"/>
        <w:jc w:val="both"/>
        <w:rPr>
          <w:rFonts w:asciiTheme="majorHAnsi" w:eastAsia="Calibri" w:hAnsiTheme="majorHAnsi" w:cstheme="majorHAnsi"/>
          <w:bCs/>
          <w:iCs/>
          <w:sz w:val="20"/>
          <w:szCs w:val="20"/>
        </w:rPr>
      </w:pPr>
    </w:p>
    <w:p w14:paraId="273C8F48" w14:textId="562CE1B5" w:rsidR="00595099" w:rsidRPr="00F22F32" w:rsidRDefault="00595099" w:rsidP="00F06DB7">
      <w:pPr>
        <w:shd w:val="clear" w:color="auto" w:fill="FFFFFF"/>
        <w:jc w:val="both"/>
        <w:rPr>
          <w:rFonts w:asciiTheme="majorHAnsi" w:eastAsia="Calibri" w:hAnsiTheme="majorHAnsi" w:cstheme="majorHAnsi"/>
          <w:bCs/>
          <w:iCs/>
          <w:sz w:val="20"/>
          <w:szCs w:val="20"/>
        </w:rPr>
      </w:pPr>
    </w:p>
    <w:p w14:paraId="12DBCF19" w14:textId="5914779C" w:rsidR="00595099" w:rsidRPr="00F22F32" w:rsidRDefault="00595099" w:rsidP="00F06DB7">
      <w:pPr>
        <w:shd w:val="clear" w:color="auto" w:fill="FFFFFF"/>
        <w:jc w:val="both"/>
        <w:rPr>
          <w:rFonts w:asciiTheme="majorHAnsi" w:eastAsia="Calibri" w:hAnsiTheme="majorHAnsi" w:cstheme="majorHAnsi"/>
          <w:bCs/>
          <w:iCs/>
          <w:sz w:val="20"/>
          <w:szCs w:val="20"/>
        </w:rPr>
      </w:pPr>
    </w:p>
    <w:p w14:paraId="013D8540" w14:textId="5D5394FE" w:rsidR="00595099" w:rsidRDefault="00595099" w:rsidP="00F06DB7">
      <w:pPr>
        <w:shd w:val="clear" w:color="auto" w:fill="FFFFFF"/>
        <w:jc w:val="both"/>
        <w:rPr>
          <w:rFonts w:asciiTheme="majorHAnsi" w:eastAsia="Calibri" w:hAnsiTheme="majorHAnsi" w:cstheme="majorHAnsi"/>
          <w:bCs/>
          <w:iCs/>
          <w:sz w:val="20"/>
          <w:szCs w:val="20"/>
        </w:rPr>
      </w:pPr>
    </w:p>
    <w:p w14:paraId="6A87CE2E" w14:textId="4C576106" w:rsidR="0098602C" w:rsidRDefault="0098602C" w:rsidP="00F06DB7">
      <w:pPr>
        <w:shd w:val="clear" w:color="auto" w:fill="FFFFFF"/>
        <w:jc w:val="both"/>
        <w:rPr>
          <w:rFonts w:asciiTheme="majorHAnsi" w:eastAsia="Calibri" w:hAnsiTheme="majorHAnsi" w:cstheme="majorHAnsi"/>
          <w:bCs/>
          <w:iCs/>
          <w:sz w:val="20"/>
          <w:szCs w:val="20"/>
        </w:rPr>
      </w:pPr>
    </w:p>
    <w:p w14:paraId="4F321140" w14:textId="10A2BEDC" w:rsidR="0098602C" w:rsidRDefault="0098602C" w:rsidP="00F06DB7">
      <w:pPr>
        <w:shd w:val="clear" w:color="auto" w:fill="FFFFFF"/>
        <w:jc w:val="both"/>
        <w:rPr>
          <w:rFonts w:asciiTheme="majorHAnsi" w:eastAsia="Calibri" w:hAnsiTheme="majorHAnsi" w:cstheme="majorHAnsi"/>
          <w:bCs/>
          <w:iCs/>
          <w:sz w:val="20"/>
          <w:szCs w:val="20"/>
        </w:rPr>
      </w:pPr>
    </w:p>
    <w:p w14:paraId="4E80B4B2" w14:textId="3AA0E209" w:rsidR="006907BD" w:rsidRDefault="006907BD" w:rsidP="00F06DB7">
      <w:pPr>
        <w:shd w:val="clear" w:color="auto" w:fill="FFFFFF"/>
        <w:jc w:val="both"/>
        <w:rPr>
          <w:rFonts w:asciiTheme="majorHAnsi" w:eastAsia="Calibri" w:hAnsiTheme="majorHAnsi" w:cstheme="majorHAnsi"/>
          <w:bCs/>
          <w:iCs/>
          <w:sz w:val="20"/>
          <w:szCs w:val="20"/>
        </w:rPr>
      </w:pPr>
    </w:p>
    <w:p w14:paraId="490C5726" w14:textId="79782B83" w:rsidR="006907BD" w:rsidRDefault="006907BD" w:rsidP="00F06DB7">
      <w:pPr>
        <w:shd w:val="clear" w:color="auto" w:fill="FFFFFF"/>
        <w:jc w:val="both"/>
        <w:rPr>
          <w:rFonts w:asciiTheme="majorHAnsi" w:eastAsia="Calibri" w:hAnsiTheme="majorHAnsi" w:cstheme="majorHAnsi"/>
          <w:bCs/>
          <w:iCs/>
          <w:sz w:val="20"/>
          <w:szCs w:val="20"/>
        </w:rPr>
      </w:pPr>
    </w:p>
    <w:p w14:paraId="122A3136" w14:textId="77AE9864" w:rsidR="006907BD" w:rsidRDefault="006907BD" w:rsidP="00F06DB7">
      <w:pPr>
        <w:shd w:val="clear" w:color="auto" w:fill="FFFFFF"/>
        <w:jc w:val="both"/>
        <w:rPr>
          <w:rFonts w:asciiTheme="majorHAnsi" w:eastAsia="Calibri" w:hAnsiTheme="majorHAnsi" w:cstheme="majorHAnsi"/>
          <w:bCs/>
          <w:iCs/>
          <w:sz w:val="20"/>
          <w:szCs w:val="20"/>
        </w:rPr>
      </w:pPr>
    </w:p>
    <w:p w14:paraId="001921E1" w14:textId="5F35576E" w:rsidR="006907BD" w:rsidRDefault="006907BD" w:rsidP="00F06DB7">
      <w:pPr>
        <w:shd w:val="clear" w:color="auto" w:fill="FFFFFF"/>
        <w:jc w:val="both"/>
        <w:rPr>
          <w:rFonts w:asciiTheme="majorHAnsi" w:eastAsia="Calibri" w:hAnsiTheme="majorHAnsi" w:cstheme="majorHAnsi"/>
          <w:bCs/>
          <w:iCs/>
          <w:sz w:val="20"/>
          <w:szCs w:val="20"/>
        </w:rPr>
      </w:pPr>
    </w:p>
    <w:p w14:paraId="1C67F4A0" w14:textId="5B20612F" w:rsidR="006907BD" w:rsidRDefault="006907BD" w:rsidP="00F06DB7">
      <w:pPr>
        <w:shd w:val="clear" w:color="auto" w:fill="FFFFFF"/>
        <w:jc w:val="both"/>
        <w:rPr>
          <w:rFonts w:asciiTheme="majorHAnsi" w:eastAsia="Calibri" w:hAnsiTheme="majorHAnsi" w:cstheme="majorHAnsi"/>
          <w:bCs/>
          <w:iCs/>
          <w:sz w:val="20"/>
          <w:szCs w:val="20"/>
        </w:rPr>
      </w:pPr>
    </w:p>
    <w:p w14:paraId="043D37B9" w14:textId="3B8F5A0C" w:rsidR="006907BD" w:rsidRDefault="006907BD" w:rsidP="00F06DB7">
      <w:pPr>
        <w:shd w:val="clear" w:color="auto" w:fill="FFFFFF"/>
        <w:jc w:val="both"/>
        <w:rPr>
          <w:rFonts w:asciiTheme="majorHAnsi" w:eastAsia="Calibri" w:hAnsiTheme="majorHAnsi" w:cstheme="majorHAnsi"/>
          <w:bCs/>
          <w:iCs/>
          <w:sz w:val="20"/>
          <w:szCs w:val="20"/>
        </w:rPr>
      </w:pPr>
    </w:p>
    <w:p w14:paraId="057E4DCA" w14:textId="597AE02D" w:rsidR="006907BD" w:rsidRDefault="006907BD" w:rsidP="00F06DB7">
      <w:pPr>
        <w:shd w:val="clear" w:color="auto" w:fill="FFFFFF"/>
        <w:jc w:val="both"/>
        <w:rPr>
          <w:rFonts w:asciiTheme="majorHAnsi" w:eastAsia="Calibri" w:hAnsiTheme="majorHAnsi" w:cstheme="majorHAnsi"/>
          <w:bCs/>
          <w:iCs/>
          <w:sz w:val="20"/>
          <w:szCs w:val="20"/>
        </w:rPr>
      </w:pPr>
    </w:p>
    <w:p w14:paraId="59F6F51D" w14:textId="72264069" w:rsidR="006907BD" w:rsidRDefault="006907BD" w:rsidP="00F06DB7">
      <w:pPr>
        <w:shd w:val="clear" w:color="auto" w:fill="FFFFFF"/>
        <w:jc w:val="both"/>
        <w:rPr>
          <w:rFonts w:asciiTheme="majorHAnsi" w:eastAsia="Calibri" w:hAnsiTheme="majorHAnsi" w:cstheme="majorHAnsi"/>
          <w:bCs/>
          <w:iCs/>
          <w:sz w:val="20"/>
          <w:szCs w:val="20"/>
        </w:rPr>
      </w:pPr>
    </w:p>
    <w:p w14:paraId="4081E50B" w14:textId="523CBC39" w:rsidR="006907BD" w:rsidRDefault="006907BD" w:rsidP="00F06DB7">
      <w:pPr>
        <w:shd w:val="clear" w:color="auto" w:fill="FFFFFF"/>
        <w:jc w:val="both"/>
        <w:rPr>
          <w:rFonts w:asciiTheme="majorHAnsi" w:eastAsia="Calibri" w:hAnsiTheme="majorHAnsi" w:cstheme="majorHAnsi"/>
          <w:bCs/>
          <w:iCs/>
          <w:sz w:val="20"/>
          <w:szCs w:val="20"/>
        </w:rPr>
      </w:pPr>
    </w:p>
    <w:p w14:paraId="7F0DBFC1" w14:textId="4D824247" w:rsidR="006907BD" w:rsidRDefault="006907BD" w:rsidP="00F06DB7">
      <w:pPr>
        <w:shd w:val="clear" w:color="auto" w:fill="FFFFFF"/>
        <w:jc w:val="both"/>
        <w:rPr>
          <w:rFonts w:asciiTheme="majorHAnsi" w:eastAsia="Calibri" w:hAnsiTheme="majorHAnsi" w:cstheme="majorHAnsi"/>
          <w:bCs/>
          <w:iCs/>
          <w:sz w:val="20"/>
          <w:szCs w:val="20"/>
        </w:rPr>
      </w:pPr>
    </w:p>
    <w:p w14:paraId="19357EAE" w14:textId="3449875E" w:rsidR="006907BD" w:rsidRDefault="006907BD" w:rsidP="00F06DB7">
      <w:pPr>
        <w:shd w:val="clear" w:color="auto" w:fill="FFFFFF"/>
        <w:jc w:val="both"/>
        <w:rPr>
          <w:rFonts w:asciiTheme="majorHAnsi" w:eastAsia="Calibri" w:hAnsiTheme="majorHAnsi" w:cstheme="majorHAnsi"/>
          <w:bCs/>
          <w:iCs/>
          <w:sz w:val="20"/>
          <w:szCs w:val="20"/>
        </w:rPr>
      </w:pPr>
    </w:p>
    <w:p w14:paraId="03DAF6CC" w14:textId="023A94D4" w:rsidR="006907BD" w:rsidRDefault="006907BD" w:rsidP="00F06DB7">
      <w:pPr>
        <w:shd w:val="clear" w:color="auto" w:fill="FFFFFF"/>
        <w:jc w:val="both"/>
        <w:rPr>
          <w:rFonts w:asciiTheme="majorHAnsi" w:eastAsia="Calibri" w:hAnsiTheme="majorHAnsi" w:cstheme="majorHAnsi"/>
          <w:bCs/>
          <w:iCs/>
          <w:sz w:val="20"/>
          <w:szCs w:val="20"/>
        </w:rPr>
      </w:pPr>
    </w:p>
    <w:p w14:paraId="1C6C3CA5" w14:textId="77777777" w:rsidR="006907BD" w:rsidRDefault="006907BD" w:rsidP="00F06DB7">
      <w:pPr>
        <w:shd w:val="clear" w:color="auto" w:fill="FFFFFF"/>
        <w:jc w:val="both"/>
        <w:rPr>
          <w:rFonts w:asciiTheme="majorHAnsi" w:eastAsia="Calibri" w:hAnsiTheme="majorHAnsi" w:cstheme="majorHAnsi"/>
          <w:bCs/>
          <w:iCs/>
          <w:sz w:val="20"/>
          <w:szCs w:val="20"/>
        </w:rPr>
      </w:pPr>
    </w:p>
    <w:p w14:paraId="19DF9548" w14:textId="316EAB72" w:rsidR="0098602C" w:rsidRDefault="0098602C" w:rsidP="00F06DB7">
      <w:pPr>
        <w:shd w:val="clear" w:color="auto" w:fill="FFFFFF"/>
        <w:jc w:val="both"/>
        <w:rPr>
          <w:rFonts w:asciiTheme="majorHAnsi" w:eastAsia="Calibri" w:hAnsiTheme="majorHAnsi" w:cstheme="majorHAnsi"/>
          <w:bCs/>
          <w:iCs/>
          <w:sz w:val="20"/>
          <w:szCs w:val="20"/>
        </w:rPr>
      </w:pPr>
    </w:p>
    <w:p w14:paraId="7DB40868" w14:textId="77777777" w:rsidR="0098602C" w:rsidRPr="00F22F32" w:rsidRDefault="0098602C" w:rsidP="00F06DB7">
      <w:pPr>
        <w:shd w:val="clear" w:color="auto" w:fill="FFFFFF"/>
        <w:jc w:val="both"/>
        <w:rPr>
          <w:rFonts w:asciiTheme="majorHAnsi" w:eastAsia="Calibri" w:hAnsiTheme="majorHAnsi" w:cstheme="majorHAnsi"/>
          <w:bCs/>
          <w:iCs/>
          <w:sz w:val="20"/>
          <w:szCs w:val="20"/>
        </w:rPr>
      </w:pPr>
    </w:p>
    <w:p w14:paraId="259C1B3E" w14:textId="77777777" w:rsidR="00595099" w:rsidRPr="00F22F32" w:rsidRDefault="00595099" w:rsidP="00F06DB7">
      <w:pPr>
        <w:shd w:val="clear" w:color="auto" w:fill="FFFFFF"/>
        <w:jc w:val="both"/>
        <w:rPr>
          <w:rFonts w:asciiTheme="majorHAnsi" w:eastAsia="Calibri" w:hAnsiTheme="majorHAnsi" w:cstheme="majorHAnsi"/>
          <w:bCs/>
          <w:iCs/>
          <w:sz w:val="20"/>
          <w:szCs w:val="20"/>
        </w:rPr>
      </w:pPr>
    </w:p>
    <w:p w14:paraId="5B66815B" w14:textId="7723A127" w:rsidR="00F06DB7" w:rsidRPr="00F22F32" w:rsidRDefault="00F06DB7" w:rsidP="002B288E">
      <w:pPr>
        <w:pStyle w:val="Heading3"/>
        <w:numPr>
          <w:ilvl w:val="0"/>
          <w:numId w:val="57"/>
        </w:numPr>
        <w:ind w:left="720" w:hanging="360"/>
        <w:rPr>
          <w:rFonts w:eastAsia="Times New Roman"/>
          <w:b/>
          <w:bCs/>
          <w:color w:val="auto"/>
          <w:sz w:val="20"/>
          <w:szCs w:val="20"/>
        </w:rPr>
      </w:pPr>
      <w:bookmarkStart w:id="16" w:name="_Toc71207072"/>
      <w:bookmarkEnd w:id="15"/>
      <w:r w:rsidRPr="00F22F32">
        <w:rPr>
          <w:rFonts w:eastAsia="Times New Roman"/>
          <w:b/>
          <w:bCs/>
          <w:color w:val="auto"/>
          <w:sz w:val="20"/>
          <w:szCs w:val="20"/>
        </w:rPr>
        <w:lastRenderedPageBreak/>
        <w:t>GENDER</w:t>
      </w:r>
      <w:bookmarkEnd w:id="16"/>
    </w:p>
    <w:p w14:paraId="067D65E4" w14:textId="4177C6FA" w:rsidR="00F06DB7" w:rsidRPr="00F22F32" w:rsidRDefault="00F06DB7" w:rsidP="00F06DB7">
      <w:pPr>
        <w:shd w:val="clear" w:color="auto" w:fill="FFFFFF"/>
        <w:jc w:val="both"/>
        <w:rPr>
          <w:rFonts w:asciiTheme="majorHAnsi" w:eastAsia="Calibri" w:hAnsiTheme="majorHAnsi" w:cstheme="majorHAnsi"/>
          <w:bCs/>
          <w:iCs/>
          <w:sz w:val="20"/>
          <w:szCs w:val="20"/>
        </w:rPr>
      </w:pPr>
    </w:p>
    <w:p w14:paraId="2B19379E" w14:textId="1A392DB1" w:rsidR="00A1456B" w:rsidRPr="00F22F32" w:rsidRDefault="00A1456B" w:rsidP="00F06DB7">
      <w:pPr>
        <w:shd w:val="clear" w:color="auto" w:fill="FFFFFF"/>
        <w:jc w:val="both"/>
        <w:rPr>
          <w:rFonts w:asciiTheme="majorHAnsi" w:eastAsia="Calibri" w:hAnsiTheme="majorHAnsi" w:cstheme="majorHAnsi"/>
          <w:bCs/>
          <w:iCs/>
          <w:sz w:val="20"/>
          <w:szCs w:val="20"/>
        </w:rPr>
      </w:pPr>
      <w:r>
        <w:rPr>
          <w:noProof/>
        </w:rPr>
        <w:drawing>
          <wp:inline distT="0" distB="0" distL="0" distR="0" wp14:anchorId="3B94E301" wp14:editId="35C33A84">
            <wp:extent cx="5398768" cy="27432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48">
                      <a:extLst>
                        <a:ext uri="{28A0092B-C50C-407E-A947-70E740481C1C}">
                          <a14:useLocalDpi xmlns:a14="http://schemas.microsoft.com/office/drawing/2010/main" val="0"/>
                        </a:ext>
                      </a:extLst>
                    </a:blip>
                    <a:stretch>
                      <a:fillRect/>
                    </a:stretch>
                  </pic:blipFill>
                  <pic:spPr>
                    <a:xfrm>
                      <a:off x="0" y="0"/>
                      <a:ext cx="5398768" cy="2743200"/>
                    </a:xfrm>
                    <a:prstGeom prst="rect">
                      <a:avLst/>
                    </a:prstGeom>
                  </pic:spPr>
                </pic:pic>
              </a:graphicData>
            </a:graphic>
          </wp:inline>
        </w:drawing>
      </w:r>
    </w:p>
    <w:p w14:paraId="0407FC98" w14:textId="77777777" w:rsidR="006907BD" w:rsidRDefault="006907BD" w:rsidP="00595099">
      <w:pPr>
        <w:tabs>
          <w:tab w:val="left" w:pos="990"/>
        </w:tabs>
        <w:jc w:val="both"/>
        <w:rPr>
          <w:rFonts w:asciiTheme="majorHAnsi" w:hAnsiTheme="majorHAnsi" w:cstheme="majorHAnsi"/>
          <w:b/>
          <w:bCs/>
          <w:sz w:val="20"/>
          <w:szCs w:val="20"/>
        </w:rPr>
        <w:sectPr w:rsidR="006907BD" w:rsidSect="005B27FF">
          <w:type w:val="continuous"/>
          <w:pgSz w:w="12240" w:h="15840"/>
          <w:pgMar w:top="1440" w:right="1440" w:bottom="1440" w:left="1440" w:header="720" w:footer="720" w:gutter="0"/>
          <w:pgNumType w:start="0"/>
          <w:cols w:space="720"/>
          <w:titlePg/>
          <w:docGrid w:linePitch="360"/>
        </w:sectPr>
      </w:pPr>
    </w:p>
    <w:p w14:paraId="40F52903" w14:textId="7F5F3F2F" w:rsidR="00595099" w:rsidRPr="00F22F32" w:rsidRDefault="00595099" w:rsidP="00595099">
      <w:pPr>
        <w:tabs>
          <w:tab w:val="left" w:pos="990"/>
        </w:tabs>
        <w:jc w:val="both"/>
        <w:rPr>
          <w:rFonts w:asciiTheme="majorHAnsi" w:hAnsiTheme="majorHAnsi" w:cstheme="majorHAnsi"/>
          <w:b/>
          <w:bCs/>
          <w:sz w:val="20"/>
          <w:szCs w:val="20"/>
        </w:rPr>
      </w:pPr>
      <w:r w:rsidRPr="00F22F32">
        <w:rPr>
          <w:rFonts w:asciiTheme="majorHAnsi" w:hAnsiTheme="majorHAnsi" w:cstheme="majorHAnsi"/>
          <w:b/>
          <w:bCs/>
          <w:sz w:val="20"/>
          <w:szCs w:val="20"/>
        </w:rPr>
        <w:t>Key achievements</w:t>
      </w:r>
    </w:p>
    <w:p w14:paraId="7DF45E8B" w14:textId="77777777" w:rsidR="0078451D" w:rsidRPr="00F22F32" w:rsidRDefault="0078451D" w:rsidP="0078451D">
      <w:pPr>
        <w:shd w:val="clear" w:color="auto" w:fill="FFFFFF"/>
        <w:jc w:val="both"/>
        <w:rPr>
          <w:rFonts w:asciiTheme="majorHAnsi" w:eastAsia="Calibri" w:hAnsiTheme="majorHAnsi" w:cstheme="majorHAnsi"/>
          <w:bCs/>
          <w:iCs/>
          <w:sz w:val="20"/>
          <w:szCs w:val="20"/>
        </w:rPr>
      </w:pPr>
      <w:r w:rsidRPr="00F22F32">
        <w:rPr>
          <w:rFonts w:asciiTheme="majorHAnsi" w:eastAsia="Calibri" w:hAnsiTheme="majorHAnsi" w:cstheme="majorHAnsi"/>
          <w:bCs/>
          <w:iCs/>
          <w:sz w:val="20"/>
          <w:szCs w:val="20"/>
        </w:rPr>
        <w:t>The UN strengthened the Government’s capacity to advance gender equality, oversee and monitor the implementation of commitments on gender equality, assisting on planning and budgeting sub-system to enable public allocation and tracking of resources for gender equality, and training of government officials at all levels in its use; , gender response monitoring and oversight, discussing the Guideline on Gender Sensitive Planning and Budgeting as well as the Proposal of Specific and Standard Activities to promote gender equality. At the community level, engagement activities for individual on gender took place</w:t>
      </w:r>
      <w:r w:rsidRPr="00F22F32">
        <w:rPr>
          <w:rStyle w:val="FootnoteReference"/>
          <w:rFonts w:asciiTheme="majorHAnsi" w:eastAsia="Calibri" w:hAnsiTheme="majorHAnsi" w:cstheme="majorHAnsi"/>
          <w:bCs/>
          <w:iCs/>
          <w:sz w:val="20"/>
          <w:szCs w:val="20"/>
        </w:rPr>
        <w:footnoteReference w:id="9"/>
      </w:r>
      <w:r w:rsidRPr="00F22F32">
        <w:rPr>
          <w:rFonts w:asciiTheme="majorHAnsi" w:eastAsia="Calibri" w:hAnsiTheme="majorHAnsi" w:cstheme="majorHAnsi"/>
          <w:bCs/>
          <w:iCs/>
          <w:sz w:val="20"/>
          <w:szCs w:val="20"/>
        </w:rPr>
        <w:t>, as well as trainings for community leaders and prominent members of the community</w:t>
      </w:r>
      <w:r w:rsidRPr="00F22F32">
        <w:rPr>
          <w:rStyle w:val="FootnoteReference"/>
          <w:rFonts w:asciiTheme="majorHAnsi" w:eastAsia="Calibri" w:hAnsiTheme="majorHAnsi" w:cstheme="majorHAnsi"/>
          <w:bCs/>
          <w:iCs/>
          <w:sz w:val="20"/>
          <w:szCs w:val="20"/>
        </w:rPr>
        <w:footnoteReference w:id="10"/>
      </w:r>
      <w:r w:rsidRPr="00F22F32">
        <w:rPr>
          <w:rFonts w:asciiTheme="majorHAnsi" w:eastAsia="Calibri" w:hAnsiTheme="majorHAnsi" w:cstheme="majorHAnsi"/>
          <w:bCs/>
          <w:iCs/>
          <w:sz w:val="20"/>
          <w:szCs w:val="20"/>
        </w:rPr>
        <w:t xml:space="preserve">. </w:t>
      </w:r>
    </w:p>
    <w:p w14:paraId="22DC08A3" w14:textId="77777777" w:rsidR="0078451D" w:rsidRPr="00F22F32" w:rsidRDefault="0078451D" w:rsidP="0078451D">
      <w:pPr>
        <w:shd w:val="clear" w:color="auto" w:fill="FFFFFF"/>
        <w:jc w:val="both"/>
        <w:rPr>
          <w:rFonts w:asciiTheme="majorHAnsi" w:eastAsia="Calibri" w:hAnsiTheme="majorHAnsi" w:cstheme="majorHAnsi"/>
          <w:bCs/>
          <w:iCs/>
          <w:sz w:val="20"/>
          <w:szCs w:val="20"/>
        </w:rPr>
      </w:pPr>
    </w:p>
    <w:p w14:paraId="6E441EB8" w14:textId="77777777" w:rsidR="0078451D" w:rsidRPr="00F22F32" w:rsidRDefault="0078451D" w:rsidP="0078451D">
      <w:pPr>
        <w:shd w:val="clear" w:color="auto" w:fill="FFFFFF"/>
        <w:jc w:val="both"/>
        <w:rPr>
          <w:rFonts w:asciiTheme="majorHAnsi" w:eastAsia="Calibri" w:hAnsiTheme="majorHAnsi" w:cstheme="majorHAnsi"/>
          <w:iCs/>
          <w:sz w:val="20"/>
          <w:szCs w:val="20"/>
        </w:rPr>
      </w:pPr>
      <w:r w:rsidRPr="00F22F32">
        <w:rPr>
          <w:rFonts w:asciiTheme="majorHAnsi" w:eastAsia="Calibri" w:hAnsiTheme="majorHAnsi" w:cstheme="majorHAnsi"/>
          <w:bCs/>
          <w:iCs/>
          <w:sz w:val="20"/>
          <w:szCs w:val="20"/>
        </w:rPr>
        <w:t>The UN support the provision of integrated assistance to women and girls affected by GBV including</w:t>
      </w:r>
      <w:r w:rsidRPr="00F22F32">
        <w:rPr>
          <w:rFonts w:asciiTheme="majorHAnsi" w:eastAsia="Calibri" w:hAnsiTheme="majorHAnsi" w:cstheme="majorHAnsi"/>
          <w:iCs/>
          <w:sz w:val="20"/>
          <w:szCs w:val="20"/>
        </w:rPr>
        <w:t xml:space="preserve"> capacity strengthening of officials from the health, police, social action, and justice sectors. The capacity of </w:t>
      </w:r>
      <w:r w:rsidRPr="00F22F32">
        <w:rPr>
          <w:rFonts w:asciiTheme="majorHAnsi" w:eastAsia="Calibri" w:hAnsiTheme="majorHAnsi" w:cstheme="majorHAnsi"/>
          <w:iCs/>
          <w:sz w:val="20"/>
          <w:szCs w:val="20"/>
        </w:rPr>
        <w:t xml:space="preserve">professionals of the justice system administration to implement the GBV legislation was also strengthened by the revamped Gender Unit of the Ministry of Justice and Gender created at Forensics National Investigation Police resulting in the referral of GBV in the context of humanitarian assistance to cases to </w:t>
      </w:r>
      <w:r w:rsidRPr="00F22F32">
        <w:rPr>
          <w:rFonts w:asciiTheme="majorHAnsi" w:hAnsiTheme="majorHAnsi" w:cstheme="majorHAnsi"/>
          <w:bCs/>
          <w:iCs/>
          <w:sz w:val="20"/>
          <w:szCs w:val="20"/>
        </w:rPr>
        <w:t xml:space="preserve">Multi-Sectoral Integrated Teams.  </w:t>
      </w:r>
    </w:p>
    <w:p w14:paraId="465B59F3" w14:textId="77777777" w:rsidR="0078451D" w:rsidRPr="00F22F32" w:rsidRDefault="0078451D" w:rsidP="0078451D">
      <w:pPr>
        <w:shd w:val="clear" w:color="auto" w:fill="FFFFFF"/>
        <w:jc w:val="both"/>
        <w:rPr>
          <w:rFonts w:asciiTheme="majorHAnsi" w:eastAsia="Calibri" w:hAnsiTheme="majorHAnsi" w:cstheme="majorHAnsi"/>
          <w:bCs/>
          <w:iCs/>
          <w:sz w:val="20"/>
          <w:szCs w:val="20"/>
        </w:rPr>
      </w:pPr>
    </w:p>
    <w:p w14:paraId="3996A8B4" w14:textId="77777777" w:rsidR="0078451D" w:rsidRPr="00F22F32" w:rsidRDefault="0078451D" w:rsidP="0078451D">
      <w:pPr>
        <w:jc w:val="both"/>
        <w:rPr>
          <w:rFonts w:asciiTheme="majorHAnsi" w:eastAsia="Times New Roman" w:hAnsiTheme="majorHAnsi" w:cstheme="majorHAnsi"/>
          <w:b/>
          <w:bCs/>
          <w:sz w:val="20"/>
          <w:szCs w:val="20"/>
        </w:rPr>
      </w:pPr>
      <w:r w:rsidRPr="00F22F32">
        <w:rPr>
          <w:rFonts w:asciiTheme="majorHAnsi" w:hAnsiTheme="majorHAnsi" w:cstheme="majorHAnsi"/>
          <w:sz w:val="20"/>
          <w:szCs w:val="20"/>
        </w:rPr>
        <w:t xml:space="preserve">The UN contribute to the improved </w:t>
      </w:r>
      <w:r w:rsidRPr="00F22F32">
        <w:rPr>
          <w:rFonts w:asciiTheme="majorHAnsi" w:eastAsia="Calibri" w:hAnsiTheme="majorHAnsi" w:cstheme="majorHAnsi"/>
          <w:iCs/>
          <w:sz w:val="20"/>
          <w:szCs w:val="20"/>
        </w:rPr>
        <w:t xml:space="preserve">availability of data to inform policy making, supporting the development of Infoviolencia, a digital platform to register and manage reported GBV cases. The UN supported the improvement of gender data by producing statistics and information on the impact of COVID-19 on women and girls in Maputo municipality, the impact of cyclones Idai and Kenneth and  the </w:t>
      </w:r>
      <w:r w:rsidRPr="00F22F32">
        <w:rPr>
          <w:rFonts w:asciiTheme="majorHAnsi" w:hAnsiTheme="majorHAnsi" w:cstheme="majorHAnsi"/>
          <w:iCs/>
          <w:sz w:val="20"/>
          <w:szCs w:val="20"/>
        </w:rPr>
        <w:t>impact of displacement and conflict in a gender perspective in central and northern Mozambique. The</w:t>
      </w:r>
      <w:r w:rsidRPr="00F22F32">
        <w:rPr>
          <w:rFonts w:asciiTheme="majorHAnsi" w:eastAsia="Calibri" w:hAnsiTheme="majorHAnsi" w:cstheme="majorHAnsi"/>
          <w:iCs/>
          <w:sz w:val="20"/>
          <w:szCs w:val="20"/>
        </w:rPr>
        <w:t xml:space="preserve"> capacity of</w:t>
      </w:r>
      <w:r w:rsidRPr="00F22F32">
        <w:rPr>
          <w:rFonts w:asciiTheme="majorHAnsi" w:hAnsiTheme="majorHAnsi" w:cstheme="majorHAnsi"/>
          <w:iCs/>
          <w:sz w:val="20"/>
          <w:szCs w:val="20"/>
          <w:lang w:val="en-GB"/>
        </w:rPr>
        <w:t xml:space="preserve"> technical staff from government institutions also improved to report on GBV. </w:t>
      </w:r>
    </w:p>
    <w:p w14:paraId="4B80CE7A" w14:textId="77777777" w:rsidR="006907BD" w:rsidRDefault="006907BD" w:rsidP="00F06DB7">
      <w:pPr>
        <w:shd w:val="clear" w:color="auto" w:fill="FFFFFF"/>
        <w:jc w:val="both"/>
        <w:rPr>
          <w:rFonts w:asciiTheme="majorHAnsi" w:eastAsia="Calibri" w:hAnsiTheme="majorHAnsi" w:cstheme="majorHAnsi"/>
          <w:b/>
          <w:iCs/>
          <w:sz w:val="20"/>
          <w:szCs w:val="20"/>
        </w:rPr>
        <w:sectPr w:rsidR="006907BD" w:rsidSect="006907BD">
          <w:type w:val="continuous"/>
          <w:pgSz w:w="12240" w:h="15840"/>
          <w:pgMar w:top="1440" w:right="1440" w:bottom="1440" w:left="1440" w:header="720" w:footer="720" w:gutter="0"/>
          <w:pgNumType w:start="0"/>
          <w:cols w:num="2" w:space="720"/>
          <w:titlePg/>
          <w:docGrid w:linePitch="360"/>
        </w:sectPr>
      </w:pPr>
    </w:p>
    <w:p w14:paraId="763B1EF6" w14:textId="4171F2EA" w:rsidR="00F06DB7" w:rsidRPr="00F22F32" w:rsidRDefault="00F06DB7" w:rsidP="00F06DB7">
      <w:pPr>
        <w:shd w:val="clear" w:color="auto" w:fill="FFFFFF"/>
        <w:jc w:val="both"/>
        <w:rPr>
          <w:rFonts w:asciiTheme="majorHAnsi" w:eastAsia="Calibri" w:hAnsiTheme="majorHAnsi" w:cstheme="majorHAnsi"/>
          <w:b/>
          <w:iCs/>
          <w:sz w:val="20"/>
          <w:szCs w:val="20"/>
        </w:rPr>
      </w:pPr>
    </w:p>
    <w:p w14:paraId="4CC2D697" w14:textId="49AC0A13" w:rsidR="00F06DB7" w:rsidRPr="00F22F32" w:rsidRDefault="00F06DB7" w:rsidP="00D43C4E">
      <w:pPr>
        <w:pStyle w:val="Heading3"/>
        <w:numPr>
          <w:ilvl w:val="0"/>
          <w:numId w:val="57"/>
        </w:numPr>
        <w:ind w:left="900" w:hanging="540"/>
        <w:rPr>
          <w:rFonts w:eastAsia="Times New Roman"/>
          <w:b/>
          <w:bCs/>
          <w:color w:val="auto"/>
          <w:sz w:val="20"/>
          <w:szCs w:val="20"/>
        </w:rPr>
      </w:pPr>
      <w:bookmarkStart w:id="17" w:name="_Toc71207073"/>
      <w:r w:rsidRPr="00F22F32">
        <w:rPr>
          <w:rFonts w:eastAsia="Times New Roman"/>
          <w:b/>
          <w:bCs/>
          <w:color w:val="auto"/>
          <w:sz w:val="20"/>
          <w:szCs w:val="20"/>
        </w:rPr>
        <w:lastRenderedPageBreak/>
        <w:t>SOCIAL PROTECTION</w:t>
      </w:r>
      <w:bookmarkEnd w:id="17"/>
    </w:p>
    <w:p w14:paraId="680B4EF8" w14:textId="3224923C" w:rsidR="00A1456B" w:rsidRPr="00F22F32" w:rsidRDefault="00A1456B" w:rsidP="00A1456B">
      <w:r>
        <w:rPr>
          <w:noProof/>
        </w:rPr>
        <w:drawing>
          <wp:inline distT="0" distB="0" distL="0" distR="0" wp14:anchorId="1A883AFF" wp14:editId="044D1E2D">
            <wp:extent cx="5996530" cy="3174797"/>
            <wp:effectExtent l="0" t="0" r="4445"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49">
                      <a:extLst>
                        <a:ext uri="{28A0092B-C50C-407E-A947-70E740481C1C}">
                          <a14:useLocalDpi xmlns:a14="http://schemas.microsoft.com/office/drawing/2010/main" val="0"/>
                        </a:ext>
                      </a:extLst>
                    </a:blip>
                    <a:stretch>
                      <a:fillRect/>
                    </a:stretch>
                  </pic:blipFill>
                  <pic:spPr>
                    <a:xfrm>
                      <a:off x="0" y="0"/>
                      <a:ext cx="5996530" cy="3174797"/>
                    </a:xfrm>
                    <a:prstGeom prst="rect">
                      <a:avLst/>
                    </a:prstGeom>
                  </pic:spPr>
                </pic:pic>
              </a:graphicData>
            </a:graphic>
          </wp:inline>
        </w:drawing>
      </w:r>
    </w:p>
    <w:p w14:paraId="7346A2A5" w14:textId="77777777" w:rsidR="00A1456B" w:rsidRPr="00F22F32" w:rsidRDefault="00A1456B" w:rsidP="00A1456B"/>
    <w:p w14:paraId="28A5B78C" w14:textId="77777777" w:rsidR="006907BD" w:rsidRDefault="006907BD" w:rsidP="00B501B8">
      <w:pPr>
        <w:tabs>
          <w:tab w:val="left" w:pos="990"/>
        </w:tabs>
        <w:jc w:val="both"/>
        <w:rPr>
          <w:rFonts w:asciiTheme="majorHAnsi" w:hAnsiTheme="majorHAnsi" w:cstheme="majorHAnsi"/>
          <w:b/>
          <w:bCs/>
          <w:sz w:val="20"/>
          <w:szCs w:val="20"/>
        </w:rPr>
        <w:sectPr w:rsidR="006907BD" w:rsidSect="005B27FF">
          <w:type w:val="continuous"/>
          <w:pgSz w:w="12240" w:h="15840"/>
          <w:pgMar w:top="1440" w:right="1440" w:bottom="1440" w:left="1440" w:header="720" w:footer="720" w:gutter="0"/>
          <w:pgNumType w:start="0"/>
          <w:cols w:space="720"/>
          <w:titlePg/>
          <w:docGrid w:linePitch="360"/>
        </w:sectPr>
      </w:pPr>
    </w:p>
    <w:p w14:paraId="58583C7D" w14:textId="277E0580" w:rsidR="00B501B8" w:rsidRPr="00F22F32" w:rsidRDefault="00B501B8" w:rsidP="00B501B8">
      <w:pPr>
        <w:tabs>
          <w:tab w:val="left" w:pos="990"/>
        </w:tabs>
        <w:jc w:val="both"/>
        <w:rPr>
          <w:rFonts w:asciiTheme="majorHAnsi" w:hAnsiTheme="majorHAnsi" w:cstheme="majorHAnsi"/>
          <w:b/>
          <w:bCs/>
          <w:sz w:val="20"/>
          <w:szCs w:val="20"/>
        </w:rPr>
      </w:pPr>
      <w:r w:rsidRPr="00F22F32">
        <w:rPr>
          <w:rFonts w:asciiTheme="majorHAnsi" w:hAnsiTheme="majorHAnsi" w:cstheme="majorHAnsi"/>
          <w:b/>
          <w:bCs/>
          <w:sz w:val="20"/>
          <w:szCs w:val="20"/>
        </w:rPr>
        <w:t>Key achievements</w:t>
      </w:r>
    </w:p>
    <w:p w14:paraId="5F89F4C6" w14:textId="77777777" w:rsidR="005C0D25" w:rsidRPr="00F22F32" w:rsidRDefault="005C0D25" w:rsidP="005C0D25">
      <w:pPr>
        <w:jc w:val="both"/>
        <w:rPr>
          <w:rFonts w:asciiTheme="majorHAnsi" w:hAnsiTheme="majorHAnsi" w:cstheme="majorHAnsi"/>
          <w:sz w:val="20"/>
          <w:szCs w:val="20"/>
        </w:rPr>
      </w:pPr>
      <w:r w:rsidRPr="00F22F32">
        <w:rPr>
          <w:rFonts w:asciiTheme="majorHAnsi" w:hAnsiTheme="majorHAnsi" w:cstheme="majorHAnsi"/>
          <w:sz w:val="20"/>
          <w:szCs w:val="20"/>
        </w:rPr>
        <w:t xml:space="preserve">The UN continues to support a variety of social protection programs at the national level, including the implementation, program redesign, improvement and expansion of the National Strategy of Basic Social Protection 2016-2024 in conjunction with INAS; and improved transparency and efficient of basic social protection systems through the design and roll-out to a new Management Information System for social protection programs (e-INAS). </w:t>
      </w:r>
    </w:p>
    <w:p w14:paraId="4A802A85" w14:textId="77777777" w:rsidR="005C0D25" w:rsidRPr="00F22F32" w:rsidRDefault="005C0D25" w:rsidP="005C0D25">
      <w:pPr>
        <w:jc w:val="both"/>
        <w:rPr>
          <w:rFonts w:asciiTheme="majorHAnsi" w:hAnsiTheme="majorHAnsi" w:cstheme="majorHAnsi"/>
          <w:sz w:val="20"/>
          <w:szCs w:val="20"/>
        </w:rPr>
      </w:pPr>
    </w:p>
    <w:p w14:paraId="31EBFAF2" w14:textId="77777777" w:rsidR="005C0D25" w:rsidRPr="00F22F32" w:rsidRDefault="005C0D25" w:rsidP="005C0D25">
      <w:pPr>
        <w:jc w:val="both"/>
        <w:rPr>
          <w:rFonts w:asciiTheme="majorHAnsi" w:hAnsiTheme="majorHAnsi" w:cstheme="majorHAnsi"/>
          <w:sz w:val="20"/>
          <w:szCs w:val="20"/>
        </w:rPr>
      </w:pPr>
      <w:r w:rsidRPr="00F22F32">
        <w:rPr>
          <w:rFonts w:asciiTheme="majorHAnsi" w:hAnsiTheme="majorHAnsi" w:cstheme="majorHAnsi"/>
          <w:sz w:val="20"/>
          <w:szCs w:val="20"/>
        </w:rPr>
        <w:t xml:space="preserve">In response to COVID-19, the UN supported the design </w:t>
      </w:r>
      <w:r w:rsidRPr="00F22F32">
        <w:rPr>
          <w:rFonts w:asciiTheme="majorHAnsi" w:hAnsiTheme="majorHAnsi" w:cstheme="majorHAnsi"/>
          <w:sz w:val="20"/>
          <w:szCs w:val="20"/>
        </w:rPr>
        <w:t xml:space="preserve">and implementation of the innovative, shock-responsive Social Protection Response Plan to COVID-19, including additional payments for regular beneficiaries and coverage extension to new beneficiaries, in the poorest neighborhoods in urban and peri-urban areas. The same programs is being used for households in Sofala affected by Cyclone, Idai, using electronic transfers and helping establish new payment methods for social protection programs, especially the shock responsive system. The UN is also providing technical assistance to the distribution of the Child Grant. </w:t>
      </w:r>
    </w:p>
    <w:p w14:paraId="465DE07E" w14:textId="77777777" w:rsidR="006907BD" w:rsidRDefault="006907BD" w:rsidP="002B288E">
      <w:pPr>
        <w:pStyle w:val="Heading3"/>
        <w:numPr>
          <w:ilvl w:val="0"/>
          <w:numId w:val="57"/>
        </w:numPr>
        <w:ind w:left="720" w:hanging="360"/>
        <w:rPr>
          <w:rFonts w:eastAsia="Times New Roman"/>
          <w:b/>
          <w:bCs/>
          <w:color w:val="auto"/>
          <w:sz w:val="20"/>
          <w:szCs w:val="20"/>
        </w:rPr>
        <w:sectPr w:rsidR="006907BD" w:rsidSect="006907BD">
          <w:type w:val="continuous"/>
          <w:pgSz w:w="12240" w:h="15840"/>
          <w:pgMar w:top="1440" w:right="1440" w:bottom="1440" w:left="1440" w:header="720" w:footer="720" w:gutter="0"/>
          <w:pgNumType w:start="0"/>
          <w:cols w:num="2" w:space="720"/>
          <w:titlePg/>
          <w:docGrid w:linePitch="360"/>
        </w:sectPr>
      </w:pPr>
      <w:bookmarkStart w:id="18" w:name="_Toc71207074"/>
    </w:p>
    <w:p w14:paraId="7A59405D" w14:textId="787F4A9A" w:rsidR="00F06DB7" w:rsidRPr="00F22F32" w:rsidRDefault="00F06DB7" w:rsidP="002B288E">
      <w:pPr>
        <w:pStyle w:val="Heading3"/>
        <w:numPr>
          <w:ilvl w:val="0"/>
          <w:numId w:val="57"/>
        </w:numPr>
        <w:ind w:left="720" w:hanging="360"/>
        <w:rPr>
          <w:rFonts w:eastAsia="Times New Roman"/>
          <w:b/>
          <w:bCs/>
          <w:color w:val="auto"/>
          <w:sz w:val="20"/>
          <w:szCs w:val="20"/>
        </w:rPr>
      </w:pPr>
      <w:r w:rsidRPr="00F22F32">
        <w:rPr>
          <w:rFonts w:eastAsia="Times New Roman"/>
          <w:b/>
          <w:bCs/>
          <w:color w:val="auto"/>
          <w:sz w:val="20"/>
          <w:szCs w:val="20"/>
        </w:rPr>
        <w:lastRenderedPageBreak/>
        <w:t>HEALTH</w:t>
      </w:r>
      <w:bookmarkEnd w:id="18"/>
    </w:p>
    <w:p w14:paraId="7A00D898" w14:textId="536A2DFC" w:rsidR="00A1456B" w:rsidRPr="00F22F32" w:rsidRDefault="00A1456B" w:rsidP="00A1456B">
      <w:r>
        <w:rPr>
          <w:noProof/>
        </w:rPr>
        <w:drawing>
          <wp:inline distT="0" distB="0" distL="0" distR="0" wp14:anchorId="0EEE508C" wp14:editId="649AA377">
            <wp:extent cx="5836257" cy="269177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50">
                      <a:extLst>
                        <a:ext uri="{28A0092B-C50C-407E-A947-70E740481C1C}">
                          <a14:useLocalDpi xmlns:a14="http://schemas.microsoft.com/office/drawing/2010/main" val="0"/>
                        </a:ext>
                      </a:extLst>
                    </a:blip>
                    <a:stretch>
                      <a:fillRect/>
                    </a:stretch>
                  </pic:blipFill>
                  <pic:spPr>
                    <a:xfrm>
                      <a:off x="0" y="0"/>
                      <a:ext cx="5846904" cy="2696682"/>
                    </a:xfrm>
                    <a:prstGeom prst="rect">
                      <a:avLst/>
                    </a:prstGeom>
                  </pic:spPr>
                </pic:pic>
              </a:graphicData>
            </a:graphic>
          </wp:inline>
        </w:drawing>
      </w:r>
    </w:p>
    <w:p w14:paraId="39CBE84D" w14:textId="77777777" w:rsidR="00EF5D24" w:rsidRDefault="00EF5D24" w:rsidP="009F6AB8">
      <w:pPr>
        <w:tabs>
          <w:tab w:val="left" w:pos="990"/>
        </w:tabs>
        <w:jc w:val="both"/>
        <w:rPr>
          <w:rFonts w:asciiTheme="majorHAnsi" w:hAnsiTheme="majorHAnsi" w:cstheme="majorHAnsi"/>
          <w:b/>
          <w:bCs/>
          <w:sz w:val="20"/>
          <w:szCs w:val="20"/>
        </w:rPr>
      </w:pPr>
    </w:p>
    <w:p w14:paraId="03DE067E" w14:textId="77777777" w:rsidR="007015FA" w:rsidRDefault="007015FA" w:rsidP="009F6AB8">
      <w:pPr>
        <w:tabs>
          <w:tab w:val="left" w:pos="990"/>
        </w:tabs>
        <w:jc w:val="both"/>
        <w:rPr>
          <w:rFonts w:asciiTheme="majorHAnsi" w:hAnsiTheme="majorHAnsi" w:cstheme="majorHAnsi"/>
          <w:b/>
          <w:bCs/>
          <w:sz w:val="20"/>
          <w:szCs w:val="20"/>
        </w:rPr>
        <w:sectPr w:rsidR="007015FA" w:rsidSect="005B27FF">
          <w:type w:val="continuous"/>
          <w:pgSz w:w="12240" w:h="15840"/>
          <w:pgMar w:top="1440" w:right="1440" w:bottom="1440" w:left="1440" w:header="720" w:footer="720" w:gutter="0"/>
          <w:pgNumType w:start="0"/>
          <w:cols w:space="720"/>
          <w:titlePg/>
          <w:docGrid w:linePitch="360"/>
        </w:sectPr>
      </w:pPr>
    </w:p>
    <w:p w14:paraId="483CC09B" w14:textId="40D343D5" w:rsidR="009F6AB8" w:rsidRPr="00F22F32" w:rsidRDefault="009F6AB8" w:rsidP="009F6AB8">
      <w:pPr>
        <w:tabs>
          <w:tab w:val="left" w:pos="990"/>
        </w:tabs>
        <w:jc w:val="both"/>
        <w:rPr>
          <w:rFonts w:asciiTheme="majorHAnsi" w:hAnsiTheme="majorHAnsi" w:cstheme="majorHAnsi"/>
          <w:b/>
          <w:bCs/>
          <w:sz w:val="20"/>
          <w:szCs w:val="20"/>
        </w:rPr>
      </w:pPr>
      <w:r w:rsidRPr="00F22F32">
        <w:rPr>
          <w:rFonts w:asciiTheme="majorHAnsi" w:hAnsiTheme="majorHAnsi" w:cstheme="majorHAnsi"/>
          <w:b/>
          <w:bCs/>
          <w:sz w:val="20"/>
          <w:szCs w:val="20"/>
        </w:rPr>
        <w:t>Key achievements</w:t>
      </w:r>
    </w:p>
    <w:p w14:paraId="448BAC3F" w14:textId="77777777" w:rsidR="000243D2" w:rsidRPr="00F22F32" w:rsidRDefault="000243D2" w:rsidP="000243D2">
      <w:pPr>
        <w:jc w:val="both"/>
        <w:rPr>
          <w:rFonts w:asciiTheme="majorHAnsi" w:hAnsiTheme="majorHAnsi" w:cstheme="majorHAnsi"/>
          <w:sz w:val="20"/>
          <w:szCs w:val="20"/>
        </w:rPr>
      </w:pPr>
      <w:r w:rsidRPr="00F22F32">
        <w:rPr>
          <w:rFonts w:asciiTheme="majorHAnsi" w:hAnsiTheme="majorHAnsi" w:cstheme="majorHAnsi"/>
          <w:sz w:val="20"/>
          <w:szCs w:val="20"/>
        </w:rPr>
        <w:t xml:space="preserve">The UN supported the strengthening of institutional capacity of the health sectors including technical support to develop key strategic documents including the National Health Policy 2020-2030, the Health Strategic Plan 2020-2024, the COVID-19 National Response Plan, the National Development Vaccination Plan (NDVP) and technical guidance. The UN has also supported implementation in different programmatic areas including the Every Newborn Action 2019-2023 (ENAP, 2019-2023) for the prevention of newborn deaths, the National Plan for the Triple Elimination of Mother-to-Child Transmission of HIV, Syphilis and Hepatitis-B 2020-2024 and the National Multisectoral Strategy for NCD prevention and control 2020 – 2030. </w:t>
      </w:r>
    </w:p>
    <w:p w14:paraId="3D5BB81D" w14:textId="77777777" w:rsidR="000243D2" w:rsidRPr="00F22F32" w:rsidRDefault="000243D2" w:rsidP="000243D2">
      <w:pPr>
        <w:jc w:val="both"/>
        <w:rPr>
          <w:rFonts w:asciiTheme="majorHAnsi" w:hAnsiTheme="majorHAnsi" w:cstheme="majorHAnsi"/>
          <w:sz w:val="20"/>
          <w:szCs w:val="20"/>
        </w:rPr>
      </w:pPr>
    </w:p>
    <w:p w14:paraId="02B31877" w14:textId="34E9A3ED" w:rsidR="000243D2" w:rsidRPr="00F22F32" w:rsidRDefault="000243D2" w:rsidP="000243D2">
      <w:pPr>
        <w:jc w:val="both"/>
        <w:rPr>
          <w:rFonts w:asciiTheme="majorHAnsi" w:hAnsiTheme="majorHAnsi" w:cstheme="majorHAnsi"/>
          <w:sz w:val="20"/>
          <w:szCs w:val="20"/>
        </w:rPr>
      </w:pPr>
      <w:r w:rsidRPr="00F22F32">
        <w:rPr>
          <w:rFonts w:asciiTheme="majorHAnsi" w:hAnsiTheme="majorHAnsi" w:cstheme="majorHAnsi"/>
          <w:sz w:val="20"/>
          <w:szCs w:val="20"/>
        </w:rPr>
        <w:t xml:space="preserve">In response to COVID-19, the UN has committed 19.6 million to health WASH and basic nutrition to support COVID-19 response plans. Despite limitations posed by COVID-19 and the challenges created by the institutional changes at provincial level, annual targets for safe water supply were achieved and overall CPD targets for water supply were surpassed, including reducing the number of communities with ODF, improving sanitation conditions in schools and </w:t>
      </w:r>
      <w:r w:rsidRPr="00F22F32">
        <w:rPr>
          <w:rFonts w:asciiTheme="majorHAnsi" w:hAnsiTheme="majorHAnsi" w:cstheme="majorHAnsi"/>
          <w:sz w:val="20"/>
          <w:szCs w:val="20"/>
        </w:rPr>
        <w:t xml:space="preserve">improving WASH infrastructure in health centers. Technical support includes training of the health workers on rapid response actions and surveillance teams in contact tracing and strengthening diagnostic capacities for laboratories. The UN has also supported the Risk Communication and Community Engagement. Under the COVAX mechanism, the UN is supporting MISAU to assess the national capacities to receive and rollout the COVID-19 vaccine. </w:t>
      </w:r>
    </w:p>
    <w:p w14:paraId="0242928B" w14:textId="4EFC90FF" w:rsidR="00650E6F" w:rsidRPr="00F22F32" w:rsidRDefault="00650E6F" w:rsidP="000243D2">
      <w:pPr>
        <w:jc w:val="both"/>
        <w:rPr>
          <w:rFonts w:asciiTheme="majorHAnsi" w:hAnsiTheme="majorHAnsi" w:cstheme="majorHAnsi"/>
          <w:sz w:val="20"/>
          <w:szCs w:val="20"/>
        </w:rPr>
      </w:pPr>
    </w:p>
    <w:p w14:paraId="7E1BB4CC" w14:textId="77777777" w:rsidR="00650E6F" w:rsidRPr="00F22F32" w:rsidRDefault="00650E6F" w:rsidP="00650E6F">
      <w:pPr>
        <w:jc w:val="both"/>
        <w:rPr>
          <w:rFonts w:asciiTheme="majorHAnsi" w:hAnsiTheme="majorHAnsi" w:cstheme="majorHAnsi"/>
          <w:sz w:val="20"/>
          <w:szCs w:val="20"/>
        </w:rPr>
      </w:pPr>
      <w:r w:rsidRPr="00F22F32">
        <w:rPr>
          <w:rFonts w:asciiTheme="majorHAnsi" w:hAnsiTheme="majorHAnsi" w:cstheme="majorHAnsi"/>
          <w:sz w:val="20"/>
          <w:szCs w:val="20"/>
        </w:rPr>
        <w:t>The UN continues to provide technical and financial support to MISAU in the priority health areas including sexual and reproductive health</w:t>
      </w:r>
      <w:r w:rsidRPr="00F22F32">
        <w:rPr>
          <w:rStyle w:val="FootnoteReference"/>
          <w:rFonts w:asciiTheme="majorHAnsi" w:hAnsiTheme="majorHAnsi" w:cstheme="majorHAnsi"/>
          <w:sz w:val="20"/>
          <w:szCs w:val="20"/>
        </w:rPr>
        <w:footnoteReference w:id="11"/>
      </w:r>
      <w:r w:rsidRPr="00F22F32">
        <w:rPr>
          <w:rFonts w:asciiTheme="majorHAnsi" w:hAnsiTheme="majorHAnsi" w:cstheme="majorHAnsi"/>
          <w:sz w:val="20"/>
          <w:szCs w:val="20"/>
        </w:rPr>
        <w:t>, malnutrition</w:t>
      </w:r>
      <w:r w:rsidRPr="00F22F32">
        <w:rPr>
          <w:rStyle w:val="FootnoteReference"/>
          <w:rFonts w:asciiTheme="majorHAnsi" w:hAnsiTheme="majorHAnsi" w:cstheme="majorHAnsi"/>
          <w:sz w:val="20"/>
          <w:szCs w:val="20"/>
        </w:rPr>
        <w:footnoteReference w:id="12"/>
      </w:r>
      <w:r w:rsidRPr="00F22F32">
        <w:rPr>
          <w:rFonts w:asciiTheme="majorHAnsi" w:hAnsiTheme="majorHAnsi" w:cstheme="majorHAnsi"/>
          <w:sz w:val="20"/>
          <w:szCs w:val="20"/>
        </w:rPr>
        <w:t>, and PLHIV</w:t>
      </w:r>
      <w:r w:rsidRPr="00F22F32">
        <w:rPr>
          <w:rStyle w:val="FootnoteReference"/>
          <w:rFonts w:asciiTheme="majorHAnsi" w:hAnsiTheme="majorHAnsi" w:cstheme="majorHAnsi"/>
          <w:sz w:val="20"/>
          <w:szCs w:val="20"/>
        </w:rPr>
        <w:footnoteReference w:id="13"/>
      </w:r>
      <w:r w:rsidRPr="00F22F32">
        <w:rPr>
          <w:rFonts w:asciiTheme="majorHAnsi" w:hAnsiTheme="majorHAnsi" w:cstheme="majorHAnsi"/>
          <w:sz w:val="20"/>
          <w:szCs w:val="20"/>
        </w:rPr>
        <w:t xml:space="preserve">. Building on its partnership with the Global Fund and with PEPFAR, the UN supported the mobilization of resources for the HIV response through the PEPFAR COP 20 planning process and development of Global Fund 2021 – 2023 proposal. Furthermore, in the area of sexual and reproductive health. the UN advocated for the My Choice program, funded by the Netherlands, was a major factor in meeting the need for family planning in 2020 by providing $6.7 million for the procurement of contraceptive methods. </w:t>
      </w:r>
    </w:p>
    <w:p w14:paraId="1412188E" w14:textId="77777777" w:rsidR="007015FA" w:rsidRDefault="007015FA" w:rsidP="000243D2">
      <w:pPr>
        <w:jc w:val="both"/>
        <w:rPr>
          <w:rFonts w:asciiTheme="majorHAnsi" w:hAnsiTheme="majorHAnsi" w:cstheme="majorHAnsi"/>
          <w:sz w:val="20"/>
          <w:szCs w:val="20"/>
        </w:rPr>
        <w:sectPr w:rsidR="007015FA" w:rsidSect="007015FA">
          <w:type w:val="continuous"/>
          <w:pgSz w:w="12240" w:h="15840"/>
          <w:pgMar w:top="1440" w:right="1440" w:bottom="1440" w:left="1440" w:header="720" w:footer="720" w:gutter="0"/>
          <w:pgNumType w:start="0"/>
          <w:cols w:num="2" w:space="720"/>
          <w:titlePg/>
          <w:docGrid w:linePitch="360"/>
        </w:sectPr>
      </w:pPr>
    </w:p>
    <w:p w14:paraId="4A5370D0" w14:textId="77ABC784" w:rsidR="00650E6F" w:rsidRPr="00F22F32" w:rsidRDefault="00650E6F" w:rsidP="000243D2">
      <w:pPr>
        <w:jc w:val="both"/>
        <w:rPr>
          <w:rFonts w:asciiTheme="majorHAnsi" w:hAnsiTheme="majorHAnsi" w:cstheme="majorHAnsi"/>
          <w:sz w:val="20"/>
          <w:szCs w:val="20"/>
        </w:rPr>
      </w:pPr>
    </w:p>
    <w:p w14:paraId="017B9266" w14:textId="0EC9D2CE" w:rsidR="00F06DB7" w:rsidRPr="00F22F32" w:rsidRDefault="00F06DB7" w:rsidP="002B288E">
      <w:pPr>
        <w:pStyle w:val="Heading3"/>
        <w:numPr>
          <w:ilvl w:val="0"/>
          <w:numId w:val="57"/>
        </w:numPr>
        <w:ind w:left="720" w:hanging="360"/>
        <w:rPr>
          <w:rFonts w:eastAsia="Times New Roman"/>
          <w:b/>
          <w:bCs/>
          <w:color w:val="auto"/>
          <w:sz w:val="20"/>
          <w:szCs w:val="20"/>
        </w:rPr>
      </w:pPr>
      <w:bookmarkStart w:id="19" w:name="_Toc71207075"/>
      <w:r w:rsidRPr="00F22F32">
        <w:rPr>
          <w:rFonts w:eastAsia="Times New Roman"/>
          <w:b/>
          <w:bCs/>
          <w:color w:val="auto"/>
          <w:sz w:val="20"/>
          <w:szCs w:val="20"/>
        </w:rPr>
        <w:t>YOUTH</w:t>
      </w:r>
      <w:bookmarkEnd w:id="19"/>
    </w:p>
    <w:p w14:paraId="19FA0E62" w14:textId="7A95A1A6" w:rsidR="00A1456B" w:rsidRPr="00F22F32" w:rsidRDefault="00A1456B" w:rsidP="00A1456B">
      <w:pPr>
        <w:tabs>
          <w:tab w:val="left" w:pos="990"/>
        </w:tabs>
        <w:jc w:val="both"/>
        <w:rPr>
          <w:rFonts w:asciiTheme="majorHAnsi" w:hAnsiTheme="majorHAnsi" w:cstheme="majorHAnsi"/>
          <w:b/>
          <w:bCs/>
          <w:sz w:val="20"/>
          <w:szCs w:val="20"/>
        </w:rPr>
      </w:pPr>
      <w:r>
        <w:rPr>
          <w:noProof/>
        </w:rPr>
        <w:drawing>
          <wp:inline distT="0" distB="0" distL="0" distR="0" wp14:anchorId="0C04EE12" wp14:editId="4D099324">
            <wp:extent cx="5917997" cy="3055144"/>
            <wp:effectExtent l="0" t="0" r="698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51">
                      <a:extLst>
                        <a:ext uri="{28A0092B-C50C-407E-A947-70E740481C1C}">
                          <a14:useLocalDpi xmlns:a14="http://schemas.microsoft.com/office/drawing/2010/main" val="0"/>
                        </a:ext>
                      </a:extLst>
                    </a:blip>
                    <a:stretch>
                      <a:fillRect/>
                    </a:stretch>
                  </pic:blipFill>
                  <pic:spPr>
                    <a:xfrm>
                      <a:off x="0" y="0"/>
                      <a:ext cx="5917997" cy="3055144"/>
                    </a:xfrm>
                    <a:prstGeom prst="rect">
                      <a:avLst/>
                    </a:prstGeom>
                  </pic:spPr>
                </pic:pic>
              </a:graphicData>
            </a:graphic>
          </wp:inline>
        </w:drawing>
      </w:r>
    </w:p>
    <w:p w14:paraId="4C2EA153" w14:textId="77777777" w:rsidR="005470D8" w:rsidRDefault="005470D8" w:rsidP="009F6AB8">
      <w:pPr>
        <w:tabs>
          <w:tab w:val="left" w:pos="990"/>
        </w:tabs>
        <w:jc w:val="both"/>
        <w:rPr>
          <w:rFonts w:asciiTheme="majorHAnsi" w:hAnsiTheme="majorHAnsi" w:cstheme="majorHAnsi"/>
          <w:b/>
          <w:bCs/>
          <w:sz w:val="20"/>
          <w:szCs w:val="20"/>
        </w:rPr>
        <w:sectPr w:rsidR="005470D8" w:rsidSect="005B27FF">
          <w:type w:val="continuous"/>
          <w:pgSz w:w="12240" w:h="15840"/>
          <w:pgMar w:top="1440" w:right="1440" w:bottom="1440" w:left="1440" w:header="720" w:footer="720" w:gutter="0"/>
          <w:pgNumType w:start="0"/>
          <w:cols w:space="720"/>
          <w:titlePg/>
          <w:docGrid w:linePitch="360"/>
        </w:sectPr>
      </w:pPr>
    </w:p>
    <w:p w14:paraId="631C465B" w14:textId="1B7E0265" w:rsidR="009F6AB8" w:rsidRPr="00F22F32" w:rsidRDefault="009F6AB8" w:rsidP="009F6AB8">
      <w:pPr>
        <w:tabs>
          <w:tab w:val="left" w:pos="990"/>
        </w:tabs>
        <w:jc w:val="both"/>
        <w:rPr>
          <w:rFonts w:asciiTheme="majorHAnsi" w:hAnsiTheme="majorHAnsi" w:cstheme="majorHAnsi"/>
          <w:b/>
          <w:bCs/>
          <w:sz w:val="20"/>
          <w:szCs w:val="20"/>
        </w:rPr>
      </w:pPr>
      <w:r w:rsidRPr="00F22F32">
        <w:rPr>
          <w:rFonts w:asciiTheme="majorHAnsi" w:hAnsiTheme="majorHAnsi" w:cstheme="majorHAnsi"/>
          <w:b/>
          <w:bCs/>
          <w:sz w:val="20"/>
          <w:szCs w:val="20"/>
        </w:rPr>
        <w:t>Key achievements</w:t>
      </w:r>
    </w:p>
    <w:p w14:paraId="46166D93" w14:textId="77777777" w:rsidR="00EC38BF" w:rsidRPr="00F22F32" w:rsidRDefault="00EC38BF" w:rsidP="00EC38BF">
      <w:pPr>
        <w:pStyle w:val="NoSpacing"/>
        <w:jc w:val="both"/>
        <w:rPr>
          <w:rFonts w:asciiTheme="majorHAnsi" w:hAnsiTheme="majorHAnsi" w:cstheme="majorHAnsi"/>
          <w:sz w:val="20"/>
          <w:szCs w:val="20"/>
          <w:lang w:val="en-GB"/>
        </w:rPr>
      </w:pPr>
      <w:r w:rsidRPr="00F22F32">
        <w:rPr>
          <w:rFonts w:asciiTheme="majorHAnsi" w:hAnsiTheme="majorHAnsi" w:cstheme="majorHAnsi"/>
          <w:sz w:val="20"/>
          <w:szCs w:val="20"/>
          <w:lang w:val="en-GB"/>
        </w:rPr>
        <w:t>The UN supported the establishment of the national Youth Partners Group for strategic advisory and multi-sector coordination to maximize investments in youth and harness the demographic dividend; improved MEF capacities at central and provincial levels to integrate demographic variables into main planning instruments and inform the annual Economic and Social Plan and State Budget; improved awareness of the impact of humanitarian crises on youth and other vulnerable populations; new 5-year program designed to strengthen data systems for youth empowerment and the demographic dividend.</w:t>
      </w:r>
    </w:p>
    <w:p w14:paraId="65768421" w14:textId="77777777" w:rsidR="00EC38BF" w:rsidRPr="00F22F32" w:rsidRDefault="00EC38BF" w:rsidP="00EC38BF">
      <w:pPr>
        <w:jc w:val="both"/>
        <w:rPr>
          <w:rFonts w:asciiTheme="majorHAnsi" w:hAnsiTheme="majorHAnsi" w:cstheme="majorHAnsi"/>
          <w:b/>
          <w:bCs/>
          <w:sz w:val="20"/>
          <w:szCs w:val="20"/>
        </w:rPr>
      </w:pPr>
    </w:p>
    <w:p w14:paraId="0EB7DD21" w14:textId="77777777" w:rsidR="00EC38BF" w:rsidRPr="00F22F32" w:rsidRDefault="00EC38BF" w:rsidP="00EC38BF">
      <w:pPr>
        <w:pStyle w:val="NoSpacing"/>
        <w:jc w:val="both"/>
        <w:rPr>
          <w:rFonts w:asciiTheme="majorHAnsi" w:hAnsiTheme="majorHAnsi" w:cstheme="majorHAnsi"/>
          <w:sz w:val="20"/>
          <w:szCs w:val="20"/>
        </w:rPr>
      </w:pPr>
      <w:r w:rsidRPr="00F22F32">
        <w:rPr>
          <w:rFonts w:asciiTheme="majorHAnsi" w:hAnsiTheme="majorHAnsi" w:cstheme="majorHAnsi"/>
          <w:sz w:val="20"/>
          <w:szCs w:val="20"/>
          <w:lang w:val="en-GB"/>
        </w:rPr>
        <w:t>Through UN support and engagement girls, boys and women across the country had access to various programs on CSE, SRHR, GBV and HIV strengthening their capacity to</w:t>
      </w:r>
      <w:r w:rsidRPr="00F22F32">
        <w:rPr>
          <w:rFonts w:asciiTheme="majorHAnsi" w:hAnsiTheme="majorHAnsi" w:cstheme="majorHAnsi"/>
          <w:sz w:val="20"/>
          <w:szCs w:val="20"/>
        </w:rPr>
        <w:t xml:space="preserve"> </w:t>
      </w:r>
      <w:r w:rsidRPr="00F22F32">
        <w:rPr>
          <w:rFonts w:asciiTheme="majorHAnsi" w:hAnsiTheme="majorHAnsi" w:cstheme="majorHAnsi"/>
          <w:sz w:val="20"/>
          <w:szCs w:val="20"/>
          <w:lang w:val="en-GB"/>
        </w:rPr>
        <w:t>actively participate in economic, social, cultural and political development. Furthermore, women have increased access to health care services including adaptation of maternal and child health service delivery models, and access to voluntary family planning through enhancing the access, services and supply of quality contraceptives. Furthermore, t</w:t>
      </w:r>
      <w:r w:rsidRPr="00F22F32">
        <w:rPr>
          <w:rFonts w:asciiTheme="majorHAnsi" w:hAnsiTheme="majorHAnsi" w:cstheme="majorHAnsi"/>
          <w:sz w:val="20"/>
          <w:szCs w:val="20"/>
        </w:rPr>
        <w:t>he UN responded to increased demand for quality access to ASRH and HIV prevention services</w:t>
      </w:r>
      <w:r w:rsidRPr="00F22F32">
        <w:rPr>
          <w:rStyle w:val="FootnoteReference"/>
          <w:rFonts w:asciiTheme="majorHAnsi" w:hAnsiTheme="majorHAnsi" w:cstheme="majorHAnsi"/>
          <w:sz w:val="20"/>
          <w:szCs w:val="20"/>
        </w:rPr>
        <w:footnoteReference w:id="14"/>
      </w:r>
    </w:p>
    <w:p w14:paraId="1B9C7964" w14:textId="77777777" w:rsidR="00F06DB7" w:rsidRPr="00F22F32" w:rsidRDefault="00F06DB7" w:rsidP="00F06DB7">
      <w:pPr>
        <w:pStyle w:val="NoSpacing"/>
        <w:jc w:val="both"/>
        <w:rPr>
          <w:rFonts w:asciiTheme="majorHAnsi" w:eastAsia="Times New Roman" w:hAnsiTheme="majorHAnsi" w:cstheme="majorHAnsi"/>
          <w:sz w:val="20"/>
          <w:szCs w:val="20"/>
        </w:rPr>
      </w:pPr>
    </w:p>
    <w:p w14:paraId="12E5369A" w14:textId="77777777" w:rsidR="005470D8" w:rsidRDefault="005470D8" w:rsidP="002B288E">
      <w:pPr>
        <w:pStyle w:val="Heading3"/>
        <w:numPr>
          <w:ilvl w:val="0"/>
          <w:numId w:val="57"/>
        </w:numPr>
        <w:ind w:left="720" w:hanging="360"/>
        <w:rPr>
          <w:rFonts w:eastAsia="Times New Roman"/>
          <w:b/>
          <w:bCs/>
          <w:color w:val="auto"/>
          <w:sz w:val="20"/>
          <w:szCs w:val="20"/>
        </w:rPr>
        <w:sectPr w:rsidR="005470D8" w:rsidSect="005470D8">
          <w:type w:val="continuous"/>
          <w:pgSz w:w="12240" w:h="15840"/>
          <w:pgMar w:top="1440" w:right="1440" w:bottom="1440" w:left="1440" w:header="720" w:footer="720" w:gutter="0"/>
          <w:pgNumType w:start="0"/>
          <w:cols w:num="2" w:space="720"/>
          <w:titlePg/>
          <w:docGrid w:linePitch="360"/>
        </w:sectPr>
      </w:pPr>
      <w:bookmarkStart w:id="20" w:name="_Toc71207076"/>
    </w:p>
    <w:p w14:paraId="0EBCB276" w14:textId="33EFD5AE" w:rsidR="00F06DB7" w:rsidRPr="00F22F32" w:rsidRDefault="00F06DB7" w:rsidP="002B288E">
      <w:pPr>
        <w:pStyle w:val="Heading3"/>
        <w:numPr>
          <w:ilvl w:val="0"/>
          <w:numId w:val="57"/>
        </w:numPr>
        <w:ind w:left="720" w:hanging="360"/>
        <w:rPr>
          <w:rFonts w:eastAsia="Times New Roman"/>
          <w:b/>
          <w:bCs/>
          <w:color w:val="auto"/>
          <w:sz w:val="20"/>
          <w:szCs w:val="20"/>
        </w:rPr>
      </w:pPr>
      <w:r w:rsidRPr="00F22F32">
        <w:rPr>
          <w:rFonts w:eastAsia="Times New Roman"/>
          <w:b/>
          <w:bCs/>
          <w:color w:val="auto"/>
          <w:sz w:val="20"/>
          <w:szCs w:val="20"/>
        </w:rPr>
        <w:lastRenderedPageBreak/>
        <w:t>GOVERNANCE</w:t>
      </w:r>
      <w:bookmarkEnd w:id="20"/>
    </w:p>
    <w:p w14:paraId="7C9B57F0" w14:textId="6912CE4B" w:rsidR="00A1456B" w:rsidRPr="00F22F32" w:rsidRDefault="00A1456B" w:rsidP="00F06DB7">
      <w:pPr>
        <w:jc w:val="both"/>
        <w:rPr>
          <w:rFonts w:asciiTheme="majorHAnsi" w:eastAsia="Times New Roman" w:hAnsiTheme="majorHAnsi" w:cstheme="majorHAnsi"/>
          <w:b/>
          <w:bCs/>
          <w:sz w:val="20"/>
          <w:szCs w:val="20"/>
        </w:rPr>
      </w:pPr>
      <w:r>
        <w:rPr>
          <w:noProof/>
        </w:rPr>
        <w:drawing>
          <wp:inline distT="0" distB="0" distL="0" distR="0" wp14:anchorId="1413938C" wp14:editId="6DBABC07">
            <wp:extent cx="5969203" cy="3557411"/>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52">
                      <a:extLst>
                        <a:ext uri="{28A0092B-C50C-407E-A947-70E740481C1C}">
                          <a14:useLocalDpi xmlns:a14="http://schemas.microsoft.com/office/drawing/2010/main" val="0"/>
                        </a:ext>
                      </a:extLst>
                    </a:blip>
                    <a:stretch>
                      <a:fillRect/>
                    </a:stretch>
                  </pic:blipFill>
                  <pic:spPr>
                    <a:xfrm>
                      <a:off x="0" y="0"/>
                      <a:ext cx="5969203" cy="3557411"/>
                    </a:xfrm>
                    <a:prstGeom prst="rect">
                      <a:avLst/>
                    </a:prstGeom>
                  </pic:spPr>
                </pic:pic>
              </a:graphicData>
            </a:graphic>
          </wp:inline>
        </w:drawing>
      </w:r>
    </w:p>
    <w:p w14:paraId="3045E6B1" w14:textId="77777777" w:rsidR="00A1456B" w:rsidRPr="00F22F32" w:rsidRDefault="00A1456B" w:rsidP="00F06DB7">
      <w:pPr>
        <w:jc w:val="both"/>
        <w:rPr>
          <w:rFonts w:asciiTheme="majorHAnsi" w:eastAsia="Times New Roman" w:hAnsiTheme="majorHAnsi" w:cstheme="majorHAnsi"/>
          <w:b/>
          <w:bCs/>
          <w:sz w:val="20"/>
          <w:szCs w:val="20"/>
        </w:rPr>
      </w:pPr>
    </w:p>
    <w:p w14:paraId="1F19F64E" w14:textId="77777777" w:rsidR="005470D8" w:rsidRDefault="005470D8" w:rsidP="00497255">
      <w:pPr>
        <w:tabs>
          <w:tab w:val="left" w:pos="990"/>
        </w:tabs>
        <w:jc w:val="both"/>
        <w:rPr>
          <w:rFonts w:asciiTheme="majorHAnsi" w:hAnsiTheme="majorHAnsi" w:cstheme="majorHAnsi"/>
          <w:b/>
          <w:bCs/>
          <w:sz w:val="20"/>
          <w:szCs w:val="20"/>
        </w:rPr>
        <w:sectPr w:rsidR="005470D8" w:rsidSect="005B27FF">
          <w:type w:val="continuous"/>
          <w:pgSz w:w="12240" w:h="15840"/>
          <w:pgMar w:top="1440" w:right="1440" w:bottom="1440" w:left="1440" w:header="720" w:footer="720" w:gutter="0"/>
          <w:pgNumType w:start="0"/>
          <w:cols w:space="720"/>
          <w:titlePg/>
          <w:docGrid w:linePitch="360"/>
        </w:sectPr>
      </w:pPr>
    </w:p>
    <w:p w14:paraId="610F75A1" w14:textId="7E6C62DF" w:rsidR="00497255" w:rsidRPr="00F22F32" w:rsidRDefault="00497255" w:rsidP="00497255">
      <w:pPr>
        <w:tabs>
          <w:tab w:val="left" w:pos="990"/>
        </w:tabs>
        <w:jc w:val="both"/>
        <w:rPr>
          <w:rFonts w:asciiTheme="majorHAnsi" w:hAnsiTheme="majorHAnsi" w:cstheme="majorHAnsi"/>
          <w:b/>
          <w:bCs/>
          <w:sz w:val="20"/>
          <w:szCs w:val="20"/>
        </w:rPr>
      </w:pPr>
      <w:r w:rsidRPr="00F22F32">
        <w:rPr>
          <w:rFonts w:asciiTheme="majorHAnsi" w:hAnsiTheme="majorHAnsi" w:cstheme="majorHAnsi"/>
          <w:b/>
          <w:bCs/>
          <w:sz w:val="20"/>
          <w:szCs w:val="20"/>
        </w:rPr>
        <w:t>Key achievements</w:t>
      </w:r>
    </w:p>
    <w:p w14:paraId="7F5BB8E4" w14:textId="77777777" w:rsidR="00A635D3" w:rsidRPr="00F22F32" w:rsidRDefault="00A635D3" w:rsidP="00497255">
      <w:pPr>
        <w:jc w:val="both"/>
        <w:rPr>
          <w:rFonts w:asciiTheme="majorHAnsi" w:hAnsiTheme="majorHAnsi" w:cstheme="majorHAnsi"/>
          <w:b/>
          <w:bCs/>
          <w:sz w:val="20"/>
          <w:szCs w:val="20"/>
        </w:rPr>
      </w:pPr>
      <w:r w:rsidRPr="00F22F32">
        <w:rPr>
          <w:rFonts w:asciiTheme="majorHAnsi" w:hAnsiTheme="majorHAnsi" w:cstheme="majorHAnsi"/>
          <w:sz w:val="20"/>
          <w:szCs w:val="20"/>
        </w:rPr>
        <w:t xml:space="preserve">The UN produced of series of analyses and assessments pertaining to the elections in 2019 </w:t>
      </w:r>
      <w:r w:rsidRPr="00F22F32">
        <w:rPr>
          <w:rStyle w:val="FootnoteReference"/>
          <w:rFonts w:asciiTheme="majorHAnsi" w:hAnsiTheme="majorHAnsi" w:cstheme="majorHAnsi"/>
          <w:sz w:val="20"/>
          <w:szCs w:val="20"/>
        </w:rPr>
        <w:footnoteReference w:id="15"/>
      </w:r>
      <w:r w:rsidRPr="00F22F32">
        <w:rPr>
          <w:rFonts w:asciiTheme="majorHAnsi" w:hAnsiTheme="majorHAnsi" w:cstheme="majorHAnsi"/>
          <w:sz w:val="20"/>
          <w:szCs w:val="20"/>
        </w:rPr>
        <w:t>;  supported the drafting and launch of the Shadow Report on the Implementation of the Recommendations of the 2</w:t>
      </w:r>
      <w:r w:rsidRPr="00F22F32">
        <w:rPr>
          <w:rFonts w:asciiTheme="majorHAnsi" w:hAnsiTheme="majorHAnsi" w:cstheme="majorHAnsi"/>
          <w:sz w:val="20"/>
          <w:szCs w:val="20"/>
          <w:vertAlign w:val="superscript"/>
        </w:rPr>
        <w:t>nd</w:t>
      </w:r>
      <w:r w:rsidRPr="00F22F32">
        <w:rPr>
          <w:rFonts w:asciiTheme="majorHAnsi" w:hAnsiTheme="majorHAnsi" w:cstheme="majorHAnsi"/>
          <w:sz w:val="20"/>
          <w:szCs w:val="20"/>
        </w:rPr>
        <w:t xml:space="preserve"> Cycle UPR and subsequent submission and Human Rights Citizen Perception Report</w:t>
      </w:r>
      <w:r w:rsidRPr="00F22F32">
        <w:rPr>
          <w:rStyle w:val="FootnoteReference"/>
          <w:rFonts w:asciiTheme="majorHAnsi" w:hAnsiTheme="majorHAnsi" w:cstheme="majorHAnsi"/>
          <w:sz w:val="20"/>
          <w:szCs w:val="20"/>
        </w:rPr>
        <w:footnoteReference w:id="16"/>
      </w:r>
      <w:r w:rsidRPr="00F22F32">
        <w:rPr>
          <w:rFonts w:asciiTheme="majorHAnsi" w:hAnsiTheme="majorHAnsi" w:cstheme="majorHAnsi"/>
          <w:sz w:val="20"/>
          <w:szCs w:val="20"/>
        </w:rPr>
        <w:t xml:space="preserve">; supported the development and approval of </w:t>
      </w:r>
      <w:r w:rsidRPr="00F22F32">
        <w:rPr>
          <w:rFonts w:asciiTheme="majorHAnsi" w:hAnsiTheme="majorHAnsi" w:cstheme="majorHAnsi"/>
          <w:b/>
          <w:bCs/>
          <w:sz w:val="20"/>
          <w:szCs w:val="20"/>
        </w:rPr>
        <w:t xml:space="preserve"> </w:t>
      </w:r>
    </w:p>
    <w:p w14:paraId="526FF1AA" w14:textId="77777777" w:rsidR="00497255" w:rsidRPr="00F22F32" w:rsidRDefault="00497255" w:rsidP="00497255">
      <w:pPr>
        <w:pStyle w:val="PlainText"/>
        <w:jc w:val="both"/>
        <w:rPr>
          <w:rFonts w:asciiTheme="majorHAnsi" w:hAnsiTheme="majorHAnsi" w:cstheme="majorHAnsi"/>
          <w:sz w:val="20"/>
          <w:szCs w:val="20"/>
        </w:rPr>
      </w:pPr>
    </w:p>
    <w:p w14:paraId="7CD10D24" w14:textId="640C99AA" w:rsidR="00A635D3" w:rsidRPr="00F22F32" w:rsidRDefault="00A635D3" w:rsidP="00497255">
      <w:pPr>
        <w:pStyle w:val="PlainText"/>
        <w:jc w:val="both"/>
        <w:rPr>
          <w:rFonts w:asciiTheme="majorHAnsi" w:eastAsia="Calibri" w:hAnsiTheme="majorHAnsi" w:cstheme="majorHAnsi"/>
          <w:bCs/>
          <w:sz w:val="20"/>
          <w:szCs w:val="20"/>
        </w:rPr>
      </w:pPr>
      <w:r w:rsidRPr="00F22F32">
        <w:rPr>
          <w:rFonts w:asciiTheme="majorHAnsi" w:hAnsiTheme="majorHAnsi" w:cstheme="majorHAnsi"/>
          <w:sz w:val="20"/>
          <w:szCs w:val="20"/>
        </w:rPr>
        <w:t xml:space="preserve">the Strategic and Development Plans of the 2 main National Human Rights Institutions; conducted mapping reports covering municipal Markets and awareness raising on COVID-19; and supported the development of the </w:t>
      </w:r>
      <w:r w:rsidRPr="00F22F32">
        <w:rPr>
          <w:rFonts w:asciiTheme="majorHAnsi" w:eastAsia="Calibri" w:hAnsiTheme="majorHAnsi" w:cstheme="majorHAnsi"/>
          <w:bCs/>
          <w:sz w:val="20"/>
          <w:szCs w:val="20"/>
        </w:rPr>
        <w:t>Strategy of Community Policing (</w:t>
      </w:r>
      <w:r w:rsidRPr="00F22F32">
        <w:rPr>
          <w:rFonts w:asciiTheme="majorHAnsi" w:eastAsia="Calibri" w:hAnsiTheme="majorHAnsi" w:cstheme="majorHAnsi"/>
          <w:bCs/>
          <w:i/>
          <w:iCs/>
          <w:sz w:val="20"/>
          <w:szCs w:val="20"/>
        </w:rPr>
        <w:t>Estratégia de Policiamento Comunitario</w:t>
      </w:r>
      <w:r w:rsidRPr="00F22F32">
        <w:rPr>
          <w:rFonts w:asciiTheme="majorHAnsi" w:eastAsia="Calibri" w:hAnsiTheme="majorHAnsi" w:cstheme="majorHAnsi"/>
          <w:bCs/>
          <w:sz w:val="20"/>
          <w:szCs w:val="20"/>
        </w:rPr>
        <w:t xml:space="preserve">) with the </w:t>
      </w:r>
      <w:r w:rsidRPr="00F22F32">
        <w:rPr>
          <w:rFonts w:asciiTheme="majorHAnsi" w:eastAsia="Calibri" w:hAnsiTheme="majorHAnsi" w:cstheme="majorHAnsi"/>
          <w:bCs/>
          <w:sz w:val="20"/>
          <w:szCs w:val="20"/>
        </w:rPr>
        <w:t>objective of improving dialogue between the Police and community on crime prevention</w:t>
      </w:r>
      <w:r w:rsidRPr="00F22F32">
        <w:rPr>
          <w:rStyle w:val="FootnoteReference"/>
          <w:rFonts w:asciiTheme="majorHAnsi" w:eastAsia="Calibri" w:hAnsiTheme="majorHAnsi" w:cstheme="majorHAnsi"/>
          <w:bCs/>
          <w:sz w:val="20"/>
          <w:szCs w:val="20"/>
        </w:rPr>
        <w:footnoteReference w:id="17"/>
      </w:r>
      <w:r w:rsidRPr="00F22F32">
        <w:rPr>
          <w:rFonts w:asciiTheme="majorHAnsi" w:eastAsia="Calibri" w:hAnsiTheme="majorHAnsi" w:cstheme="majorHAnsi"/>
          <w:bCs/>
          <w:sz w:val="20"/>
          <w:szCs w:val="20"/>
        </w:rPr>
        <w:t xml:space="preserve">. </w:t>
      </w:r>
    </w:p>
    <w:p w14:paraId="7AF22A44" w14:textId="77777777" w:rsidR="00A635D3" w:rsidRPr="00F22F32" w:rsidRDefault="00A635D3" w:rsidP="00497255">
      <w:pPr>
        <w:pStyle w:val="PlainText"/>
        <w:jc w:val="both"/>
        <w:rPr>
          <w:rFonts w:asciiTheme="majorHAnsi" w:hAnsiTheme="majorHAnsi" w:cstheme="majorHAnsi"/>
          <w:b/>
          <w:bCs/>
          <w:sz w:val="20"/>
          <w:szCs w:val="20"/>
        </w:rPr>
      </w:pPr>
    </w:p>
    <w:p w14:paraId="374C6D36" w14:textId="77777777" w:rsidR="00A635D3" w:rsidRPr="00F22F32" w:rsidRDefault="00A635D3" w:rsidP="00497255">
      <w:pPr>
        <w:jc w:val="both"/>
        <w:rPr>
          <w:rFonts w:asciiTheme="majorHAnsi" w:eastAsia="Times New Roman" w:hAnsiTheme="majorHAnsi" w:cstheme="majorHAnsi"/>
          <w:b/>
          <w:bCs/>
          <w:sz w:val="20"/>
          <w:szCs w:val="20"/>
        </w:rPr>
      </w:pPr>
      <w:r w:rsidRPr="00F22F32">
        <w:rPr>
          <w:rFonts w:asciiTheme="majorHAnsi" w:hAnsiTheme="majorHAnsi" w:cstheme="majorHAnsi"/>
          <w:sz w:val="20"/>
          <w:szCs w:val="20"/>
        </w:rPr>
        <w:t xml:space="preserve">The UN supported key government institutions with relevant technological equipment and knowledge to pilot digital governance services. </w:t>
      </w:r>
      <w:r w:rsidRPr="00F22F32">
        <w:rPr>
          <w:rFonts w:asciiTheme="majorHAnsi" w:hAnsiTheme="majorHAnsi" w:cstheme="majorHAnsi"/>
          <w:sz w:val="20"/>
          <w:szCs w:val="20"/>
          <w:lang w:val="en-ZA"/>
        </w:rPr>
        <w:t xml:space="preserve">Improved capacity of the </w:t>
      </w:r>
      <w:r w:rsidRPr="00F22F32">
        <w:rPr>
          <w:rFonts w:asciiTheme="majorHAnsi" w:eastAsia="Times New Roman" w:hAnsiTheme="majorHAnsi" w:cstheme="majorHAnsi"/>
          <w:sz w:val="20"/>
          <w:szCs w:val="20"/>
          <w:lang w:val="en"/>
        </w:rPr>
        <w:t>Parliament, MEF, Administrative Court and the Budget Monitoring Forum / CSO platform</w:t>
      </w:r>
      <w:r w:rsidRPr="00F22F32">
        <w:rPr>
          <w:rFonts w:asciiTheme="majorHAnsi" w:hAnsiTheme="majorHAnsi" w:cstheme="majorHAnsi"/>
          <w:sz w:val="20"/>
          <w:szCs w:val="20"/>
        </w:rPr>
        <w:t xml:space="preserve"> to carry out </w:t>
      </w:r>
      <w:r w:rsidRPr="00F22F32">
        <w:rPr>
          <w:rFonts w:asciiTheme="majorHAnsi" w:eastAsia="Times New Roman" w:hAnsiTheme="majorHAnsi" w:cstheme="majorHAnsi"/>
          <w:sz w:val="20"/>
          <w:szCs w:val="20"/>
          <w:lang w:val="en"/>
        </w:rPr>
        <w:t>actions to respond to the socio-economic impact of the COVID-19.</w:t>
      </w:r>
      <w:r w:rsidRPr="00F22F32">
        <w:rPr>
          <w:rFonts w:asciiTheme="majorHAnsi" w:hAnsiTheme="majorHAnsi" w:cstheme="majorHAnsi"/>
          <w:sz w:val="20"/>
          <w:szCs w:val="20"/>
        </w:rPr>
        <w:t xml:space="preserve"> Furthermore, officials at central to provincial levels  acquired technical capacities to respond to the current demands of ongoing reforms in the public administration, improve technical assistance at different levels in the Planning, Budgeting components, Monitoring and Evaluation, taking into account the challenges of decentralization, as well as the revised SISTAFE Law. </w:t>
      </w:r>
    </w:p>
    <w:p w14:paraId="3568EFD1" w14:textId="77777777" w:rsidR="005470D8" w:rsidRDefault="005470D8" w:rsidP="002B288E">
      <w:pPr>
        <w:pStyle w:val="Heading3"/>
        <w:numPr>
          <w:ilvl w:val="0"/>
          <w:numId w:val="57"/>
        </w:numPr>
        <w:ind w:left="720" w:hanging="360"/>
        <w:rPr>
          <w:rFonts w:eastAsia="Times New Roman"/>
          <w:b/>
          <w:bCs/>
          <w:color w:val="auto"/>
          <w:sz w:val="20"/>
          <w:szCs w:val="20"/>
        </w:rPr>
        <w:sectPr w:rsidR="005470D8" w:rsidSect="005470D8">
          <w:type w:val="continuous"/>
          <w:pgSz w:w="12240" w:h="15840"/>
          <w:pgMar w:top="1440" w:right="1440" w:bottom="1440" w:left="1440" w:header="720" w:footer="720" w:gutter="0"/>
          <w:pgNumType w:start="0"/>
          <w:cols w:num="2" w:space="720"/>
          <w:titlePg/>
          <w:docGrid w:linePitch="360"/>
        </w:sectPr>
      </w:pPr>
      <w:bookmarkStart w:id="21" w:name="_Toc71207077"/>
    </w:p>
    <w:p w14:paraId="1A3529E2" w14:textId="420ADA63" w:rsidR="00F06DB7" w:rsidRPr="00F22F32" w:rsidRDefault="00F06DB7" w:rsidP="002B288E">
      <w:pPr>
        <w:pStyle w:val="Heading3"/>
        <w:numPr>
          <w:ilvl w:val="0"/>
          <w:numId w:val="57"/>
        </w:numPr>
        <w:ind w:left="720" w:hanging="360"/>
        <w:rPr>
          <w:rFonts w:eastAsia="Times New Roman"/>
          <w:b/>
          <w:bCs/>
          <w:color w:val="auto"/>
          <w:sz w:val="20"/>
          <w:szCs w:val="20"/>
        </w:rPr>
      </w:pPr>
      <w:r w:rsidRPr="00F22F32">
        <w:rPr>
          <w:rFonts w:eastAsia="Times New Roman"/>
          <w:b/>
          <w:bCs/>
          <w:color w:val="auto"/>
          <w:sz w:val="20"/>
          <w:szCs w:val="20"/>
        </w:rPr>
        <w:lastRenderedPageBreak/>
        <w:t>NATURAL RESOURCES</w:t>
      </w:r>
      <w:r w:rsidR="007F0E53" w:rsidRPr="00F22F32">
        <w:rPr>
          <w:rFonts w:eastAsia="Times New Roman"/>
          <w:b/>
          <w:bCs/>
          <w:color w:val="auto"/>
          <w:sz w:val="20"/>
          <w:szCs w:val="20"/>
        </w:rPr>
        <w:t xml:space="preserve"> MANAGEMENT</w:t>
      </w:r>
      <w:bookmarkEnd w:id="21"/>
    </w:p>
    <w:p w14:paraId="0CD6C544" w14:textId="3CF760E1" w:rsidR="00106793" w:rsidRPr="00F22F32" w:rsidRDefault="00A1456B" w:rsidP="00F06DB7">
      <w:pPr>
        <w:pStyle w:val="NormalWeb"/>
        <w:spacing w:before="0" w:beforeAutospacing="0" w:after="0" w:afterAutospacing="0"/>
        <w:jc w:val="both"/>
        <w:rPr>
          <w:rFonts w:asciiTheme="majorHAnsi" w:hAnsiTheme="majorHAnsi" w:cstheme="majorHAnsi"/>
          <w:b/>
          <w:bCs/>
          <w:sz w:val="20"/>
          <w:szCs w:val="20"/>
          <w:lang w:val="en-GB"/>
        </w:rPr>
      </w:pPr>
      <w:r>
        <w:rPr>
          <w:noProof/>
        </w:rPr>
        <w:drawing>
          <wp:inline distT="0" distB="0" distL="0" distR="0" wp14:anchorId="70C89B21" wp14:editId="3D73AC1F">
            <wp:extent cx="5917567" cy="3041650"/>
            <wp:effectExtent l="0" t="0" r="6985"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53">
                      <a:extLst>
                        <a:ext uri="{28A0092B-C50C-407E-A947-70E740481C1C}">
                          <a14:useLocalDpi xmlns:a14="http://schemas.microsoft.com/office/drawing/2010/main" val="0"/>
                        </a:ext>
                      </a:extLst>
                    </a:blip>
                    <a:stretch>
                      <a:fillRect/>
                    </a:stretch>
                  </pic:blipFill>
                  <pic:spPr>
                    <a:xfrm>
                      <a:off x="0" y="0"/>
                      <a:ext cx="5917567" cy="3041650"/>
                    </a:xfrm>
                    <a:prstGeom prst="rect">
                      <a:avLst/>
                    </a:prstGeom>
                  </pic:spPr>
                </pic:pic>
              </a:graphicData>
            </a:graphic>
          </wp:inline>
        </w:drawing>
      </w:r>
    </w:p>
    <w:p w14:paraId="4004472C" w14:textId="77777777" w:rsidR="005470D8" w:rsidRDefault="005470D8" w:rsidP="00C03A89">
      <w:pPr>
        <w:tabs>
          <w:tab w:val="left" w:pos="990"/>
        </w:tabs>
        <w:jc w:val="both"/>
        <w:rPr>
          <w:rFonts w:asciiTheme="majorHAnsi" w:hAnsiTheme="majorHAnsi" w:cstheme="majorHAnsi"/>
          <w:b/>
          <w:bCs/>
          <w:sz w:val="20"/>
          <w:szCs w:val="20"/>
        </w:rPr>
        <w:sectPr w:rsidR="005470D8" w:rsidSect="005B27FF">
          <w:type w:val="continuous"/>
          <w:pgSz w:w="12240" w:h="15840"/>
          <w:pgMar w:top="1440" w:right="1440" w:bottom="1440" w:left="1440" w:header="720" w:footer="720" w:gutter="0"/>
          <w:pgNumType w:start="0"/>
          <w:cols w:space="720"/>
          <w:titlePg/>
          <w:docGrid w:linePitch="360"/>
        </w:sectPr>
      </w:pPr>
    </w:p>
    <w:p w14:paraId="77530CB8" w14:textId="15C4F554" w:rsidR="00C03A89" w:rsidRPr="00F22F32" w:rsidRDefault="00C03A89" w:rsidP="00C03A89">
      <w:pPr>
        <w:tabs>
          <w:tab w:val="left" w:pos="990"/>
        </w:tabs>
        <w:jc w:val="both"/>
        <w:rPr>
          <w:rFonts w:asciiTheme="majorHAnsi" w:hAnsiTheme="majorHAnsi" w:cstheme="majorHAnsi"/>
          <w:b/>
          <w:bCs/>
          <w:sz w:val="20"/>
          <w:szCs w:val="20"/>
        </w:rPr>
      </w:pPr>
      <w:r w:rsidRPr="00F22F32">
        <w:rPr>
          <w:rFonts w:asciiTheme="majorHAnsi" w:hAnsiTheme="majorHAnsi" w:cstheme="majorHAnsi"/>
          <w:b/>
          <w:bCs/>
          <w:sz w:val="20"/>
          <w:szCs w:val="20"/>
        </w:rPr>
        <w:t>Key achievements</w:t>
      </w:r>
    </w:p>
    <w:p w14:paraId="6EE0D8E4" w14:textId="77777777" w:rsidR="004D261F" w:rsidRPr="00F22F32" w:rsidRDefault="004D261F" w:rsidP="004D261F">
      <w:pPr>
        <w:jc w:val="both"/>
        <w:rPr>
          <w:rFonts w:asciiTheme="majorHAnsi" w:eastAsia="Times New Roman" w:hAnsiTheme="majorHAnsi" w:cstheme="majorHAnsi"/>
          <w:sz w:val="20"/>
          <w:szCs w:val="20"/>
        </w:rPr>
      </w:pPr>
      <w:r w:rsidRPr="00F22F32">
        <w:rPr>
          <w:rFonts w:asciiTheme="majorHAnsi" w:eastAsia="Times New Roman" w:hAnsiTheme="majorHAnsi" w:cstheme="majorHAnsi"/>
          <w:sz w:val="20"/>
          <w:szCs w:val="20"/>
        </w:rPr>
        <w:t xml:space="preserve">The UN continued to promote good governance of natural resources and environment. The UN supported the Ministry of Land and Environment (MTA) to finalize a status report on implementation of the National Strategy for Climate Change from 2013–2019. The IWT developed its strategy and drafted its Action Plan. Anti-crime operations to combat IWT were successfully conducted by national authorities, training on Conversation Law took place at the community level in Gorongosa National Park and community rangers’ groups gained more surveillance capacity through new equipment. National and local policy makers, executives and non-governmental actors including from the private sector improved their capacity to combat wildlife crime. Improvements in coordination for natural resource management were achieved with the approval of the co-management agreement in the Niassa Reserve by different government institutions at national and subnational levels. </w:t>
      </w:r>
    </w:p>
    <w:p w14:paraId="42ED9325" w14:textId="77777777" w:rsidR="004D261F" w:rsidRPr="00F22F32" w:rsidRDefault="004D261F" w:rsidP="004D261F">
      <w:pPr>
        <w:jc w:val="both"/>
        <w:rPr>
          <w:rFonts w:asciiTheme="majorHAnsi" w:eastAsia="Times New Roman" w:hAnsiTheme="majorHAnsi" w:cstheme="majorHAnsi"/>
          <w:sz w:val="20"/>
          <w:szCs w:val="20"/>
        </w:rPr>
      </w:pPr>
    </w:p>
    <w:p w14:paraId="2F32D712" w14:textId="77777777" w:rsidR="004D261F" w:rsidRPr="00F22F32" w:rsidRDefault="004D261F" w:rsidP="004D261F">
      <w:pPr>
        <w:jc w:val="both"/>
        <w:rPr>
          <w:rFonts w:asciiTheme="majorHAnsi" w:eastAsia="Times New Roman" w:hAnsiTheme="majorHAnsi" w:cstheme="majorHAnsi"/>
          <w:sz w:val="20"/>
          <w:szCs w:val="20"/>
        </w:rPr>
      </w:pPr>
      <w:r w:rsidRPr="00F22F32">
        <w:rPr>
          <w:rFonts w:asciiTheme="majorHAnsi" w:hAnsiTheme="majorHAnsi" w:cstheme="majorHAnsi"/>
          <w:sz w:val="20"/>
          <w:szCs w:val="20"/>
        </w:rPr>
        <w:t>The new Forest Policy and its implementation Strategy was formulated under strategic and technical support to the National Forestry Directorate and approved by the Council of Ministers. In addition, a National-wide Forest Information System for the administrative monitoring and control of the timber and NWFP value chain was developed.</w:t>
      </w:r>
      <w:r w:rsidRPr="00F22F32">
        <w:rPr>
          <w:rFonts w:asciiTheme="majorHAnsi" w:eastAsia="Times New Roman" w:hAnsiTheme="majorHAnsi" w:cstheme="majorHAnsi"/>
          <w:sz w:val="20"/>
          <w:szCs w:val="20"/>
        </w:rPr>
        <w:t xml:space="preserve"> Data management was strengthened with the customized human-wildlife conflict Field App for real-time data collection and sharing in the Gorongosa National Park. The UN also supported capacity building activities</w:t>
      </w:r>
      <w:r w:rsidRPr="00F22F32">
        <w:rPr>
          <w:rStyle w:val="FootnoteReference"/>
          <w:rFonts w:asciiTheme="majorHAnsi" w:eastAsia="Times New Roman" w:hAnsiTheme="majorHAnsi" w:cstheme="majorHAnsi"/>
          <w:sz w:val="20"/>
          <w:szCs w:val="20"/>
        </w:rPr>
        <w:footnoteReference w:id="18"/>
      </w:r>
      <w:r w:rsidRPr="00F22F32">
        <w:rPr>
          <w:rFonts w:asciiTheme="majorHAnsi" w:eastAsia="Times New Roman" w:hAnsiTheme="majorHAnsi" w:cstheme="majorHAnsi"/>
          <w:sz w:val="20"/>
          <w:szCs w:val="20"/>
        </w:rPr>
        <w:t xml:space="preserve">. </w:t>
      </w:r>
    </w:p>
    <w:p w14:paraId="4C71A534" w14:textId="77777777" w:rsidR="004D261F" w:rsidRPr="00F22F32" w:rsidRDefault="004D261F" w:rsidP="004D261F">
      <w:pPr>
        <w:jc w:val="both"/>
        <w:rPr>
          <w:rFonts w:asciiTheme="majorHAnsi" w:eastAsia="Times New Roman" w:hAnsiTheme="majorHAnsi" w:cstheme="majorHAnsi"/>
          <w:sz w:val="20"/>
          <w:szCs w:val="20"/>
        </w:rPr>
      </w:pPr>
    </w:p>
    <w:p w14:paraId="3EDBA9A9" w14:textId="2E4854BA" w:rsidR="004D261F" w:rsidRPr="00F22F32" w:rsidRDefault="004D261F" w:rsidP="004D261F">
      <w:pPr>
        <w:jc w:val="both"/>
        <w:rPr>
          <w:rFonts w:asciiTheme="majorHAnsi" w:eastAsia="Times New Roman" w:hAnsiTheme="majorHAnsi" w:cstheme="majorHAnsi"/>
          <w:b/>
          <w:bCs/>
          <w:sz w:val="20"/>
          <w:szCs w:val="20"/>
        </w:rPr>
      </w:pPr>
      <w:r w:rsidRPr="00F22F32">
        <w:rPr>
          <w:rFonts w:asciiTheme="majorHAnsi" w:eastAsia="Times New Roman" w:hAnsiTheme="majorHAnsi" w:cstheme="majorHAnsi"/>
          <w:sz w:val="20"/>
          <w:szCs w:val="20"/>
        </w:rPr>
        <w:t>The UN were also engaged in several key areas including: Trainings on awareness about natural resource exploitation, gender and social inclusion, awareness raising on climate change and trainings on climate change reporting were conducted</w:t>
      </w:r>
      <w:r w:rsidRPr="00F22F32">
        <w:rPr>
          <w:rStyle w:val="FootnoteReference"/>
          <w:rFonts w:asciiTheme="majorHAnsi" w:eastAsia="Times New Roman" w:hAnsiTheme="majorHAnsi" w:cstheme="majorHAnsi"/>
          <w:sz w:val="20"/>
          <w:szCs w:val="20"/>
        </w:rPr>
        <w:footnoteReference w:id="19"/>
      </w:r>
      <w:r w:rsidRPr="00F22F32">
        <w:rPr>
          <w:rFonts w:asciiTheme="majorHAnsi" w:eastAsia="Times New Roman" w:hAnsiTheme="majorHAnsi" w:cstheme="majorHAnsi"/>
          <w:sz w:val="20"/>
          <w:szCs w:val="20"/>
        </w:rPr>
        <w:t>; Biodiversity conservation management tools for strategic biodiversity investments and policy</w:t>
      </w:r>
      <w:r w:rsidR="00CE6D0C" w:rsidRPr="00F22F32">
        <w:rPr>
          <w:rFonts w:asciiTheme="majorHAnsi" w:eastAsia="Times New Roman" w:hAnsiTheme="majorHAnsi" w:cstheme="majorHAnsi"/>
          <w:sz w:val="20"/>
          <w:szCs w:val="20"/>
        </w:rPr>
        <w:t xml:space="preserve"> </w:t>
      </w:r>
      <w:r w:rsidRPr="00F22F32">
        <w:rPr>
          <w:rFonts w:asciiTheme="majorHAnsi" w:eastAsia="Times New Roman" w:hAnsiTheme="majorHAnsi" w:cstheme="majorHAnsi"/>
          <w:sz w:val="20"/>
          <w:szCs w:val="20"/>
        </w:rPr>
        <w:t>development</w:t>
      </w:r>
      <w:r w:rsidRPr="00F22F32">
        <w:rPr>
          <w:rStyle w:val="FootnoteReference"/>
          <w:rFonts w:asciiTheme="majorHAnsi" w:eastAsia="Times New Roman" w:hAnsiTheme="majorHAnsi" w:cstheme="majorHAnsi"/>
          <w:sz w:val="20"/>
          <w:szCs w:val="20"/>
        </w:rPr>
        <w:footnoteReference w:id="20"/>
      </w:r>
      <w:r w:rsidRPr="00F22F32">
        <w:rPr>
          <w:rFonts w:asciiTheme="majorHAnsi" w:eastAsia="Times New Roman" w:hAnsiTheme="majorHAnsi" w:cstheme="majorHAnsi"/>
          <w:sz w:val="20"/>
          <w:szCs w:val="20"/>
        </w:rPr>
        <w:t xml:space="preserve">; and the provision and use of digital </w:t>
      </w:r>
      <w:r w:rsidRPr="00F22F32">
        <w:rPr>
          <w:rFonts w:asciiTheme="majorHAnsi" w:eastAsia="Times New Roman" w:hAnsiTheme="majorHAnsi" w:cstheme="majorHAnsi"/>
          <w:sz w:val="20"/>
          <w:szCs w:val="20"/>
        </w:rPr>
        <w:lastRenderedPageBreak/>
        <w:t>infrastructure</w:t>
      </w:r>
      <w:r w:rsidRPr="00F22F32">
        <w:rPr>
          <w:rStyle w:val="FootnoteReference"/>
          <w:rFonts w:asciiTheme="majorHAnsi" w:eastAsia="Times New Roman" w:hAnsiTheme="majorHAnsi" w:cstheme="majorHAnsi"/>
          <w:sz w:val="20"/>
          <w:szCs w:val="20"/>
        </w:rPr>
        <w:footnoteReference w:id="21"/>
      </w:r>
      <w:r w:rsidRPr="00F22F32">
        <w:rPr>
          <w:rFonts w:asciiTheme="majorHAnsi" w:eastAsia="Times New Roman" w:hAnsiTheme="majorHAnsi" w:cstheme="majorHAnsi"/>
          <w:sz w:val="20"/>
          <w:szCs w:val="20"/>
        </w:rPr>
        <w:t>.</w:t>
      </w:r>
    </w:p>
    <w:p w14:paraId="511486F1" w14:textId="0B25306E" w:rsidR="00106793" w:rsidRDefault="00106793" w:rsidP="00F06DB7">
      <w:pPr>
        <w:adjustRightInd w:val="0"/>
        <w:jc w:val="both"/>
        <w:rPr>
          <w:rFonts w:asciiTheme="majorHAnsi" w:hAnsiTheme="majorHAnsi" w:cstheme="majorHAnsi"/>
          <w:b/>
          <w:bCs/>
          <w:sz w:val="20"/>
          <w:szCs w:val="20"/>
        </w:rPr>
      </w:pPr>
    </w:p>
    <w:p w14:paraId="2CBFA894" w14:textId="61183E4E" w:rsidR="0097751A" w:rsidRDefault="0097751A" w:rsidP="00F06DB7">
      <w:pPr>
        <w:adjustRightInd w:val="0"/>
        <w:jc w:val="both"/>
        <w:rPr>
          <w:rFonts w:asciiTheme="majorHAnsi" w:hAnsiTheme="majorHAnsi" w:cstheme="majorHAnsi"/>
          <w:b/>
          <w:bCs/>
          <w:sz w:val="20"/>
          <w:szCs w:val="20"/>
        </w:rPr>
      </w:pPr>
      <w:r w:rsidRPr="0097751A">
        <w:rPr>
          <w:rFonts w:asciiTheme="majorHAnsi" w:hAnsiTheme="majorHAnsi" w:cstheme="majorHAnsi"/>
          <w:b/>
          <w:bCs/>
          <w:sz w:val="20"/>
          <w:szCs w:val="20"/>
        </w:rPr>
        <w:t>Human-wildlife coexistence strategies in Gorongosa and Niassa Parks</w:t>
      </w:r>
    </w:p>
    <w:p w14:paraId="305EC35E" w14:textId="77777777" w:rsidR="0064120E" w:rsidRPr="0064120E" w:rsidRDefault="0064120E" w:rsidP="0064120E">
      <w:pPr>
        <w:adjustRightInd w:val="0"/>
        <w:jc w:val="both"/>
        <w:rPr>
          <w:rFonts w:asciiTheme="majorHAnsi" w:hAnsiTheme="majorHAnsi" w:cstheme="majorHAnsi"/>
          <w:sz w:val="20"/>
          <w:szCs w:val="20"/>
        </w:rPr>
      </w:pPr>
      <w:r w:rsidRPr="0064120E">
        <w:rPr>
          <w:rFonts w:asciiTheme="majorHAnsi" w:hAnsiTheme="majorHAnsi" w:cstheme="majorHAnsi"/>
          <w:b/>
          <w:bCs/>
          <w:sz w:val="20"/>
          <w:szCs w:val="20"/>
        </w:rPr>
        <w:t>In Niassa Special Reserve</w:t>
      </w:r>
      <w:r w:rsidRPr="0064120E">
        <w:rPr>
          <w:rFonts w:asciiTheme="majorHAnsi" w:hAnsiTheme="majorHAnsi" w:cstheme="majorHAnsi"/>
          <w:sz w:val="20"/>
          <w:szCs w:val="20"/>
        </w:rPr>
        <w:t xml:space="preserve">, a Human-Wildlife Conflict Team was created and deployed in February 2020 in Mecula town to improve the Human Wildlife Conflict (HWC) response capacity to respond to problem animals, when requested by the affected community. This team works together with the local Administration to respond to HWC incidents.  Human wildlife conflict mitigation activities also included setting up a hotline for the local communities to report conflict incidences as they occur, establishing an incident report and registry system, updating the maps of HWC hotspots and installation of electric fencing and green fences in productive agriculture areas. The competition over water resources often leads to HWC and is also a major cause for water-borne disease, thus, mitigating conflict is an important activity for the communities.  </w:t>
      </w:r>
    </w:p>
    <w:p w14:paraId="3E79C51D" w14:textId="77777777" w:rsidR="0064120E" w:rsidRPr="0064120E" w:rsidRDefault="0064120E" w:rsidP="0064120E">
      <w:pPr>
        <w:adjustRightInd w:val="0"/>
        <w:jc w:val="both"/>
        <w:rPr>
          <w:rFonts w:asciiTheme="majorHAnsi" w:hAnsiTheme="majorHAnsi" w:cstheme="majorHAnsi"/>
          <w:sz w:val="20"/>
          <w:szCs w:val="20"/>
        </w:rPr>
      </w:pPr>
    </w:p>
    <w:p w14:paraId="0AF172D0" w14:textId="0D375071" w:rsidR="0097751A" w:rsidRDefault="0064120E" w:rsidP="0064120E">
      <w:pPr>
        <w:adjustRightInd w:val="0"/>
        <w:jc w:val="both"/>
        <w:rPr>
          <w:rFonts w:asciiTheme="majorHAnsi" w:hAnsiTheme="majorHAnsi" w:cstheme="majorHAnsi"/>
          <w:sz w:val="20"/>
          <w:szCs w:val="20"/>
        </w:rPr>
      </w:pPr>
      <w:r w:rsidRPr="0064120E">
        <w:rPr>
          <w:rFonts w:asciiTheme="majorHAnsi" w:hAnsiTheme="majorHAnsi" w:cstheme="majorHAnsi"/>
          <w:b/>
          <w:bCs/>
          <w:sz w:val="20"/>
          <w:szCs w:val="20"/>
        </w:rPr>
        <w:t>In Gorongosa National Park,</w:t>
      </w:r>
      <w:r w:rsidRPr="0064120E">
        <w:rPr>
          <w:rFonts w:asciiTheme="majorHAnsi" w:hAnsiTheme="majorHAnsi" w:cstheme="majorHAnsi"/>
          <w:sz w:val="20"/>
          <w:szCs w:val="20"/>
        </w:rPr>
        <w:t xml:space="preserve"> the team is hiring six community-based coexistence collaborators who are all women. An initial group of 12 women candidates was selected. They are currently undergoing training and evaluations. The Conservation team built and </w:t>
      </w:r>
      <w:r w:rsidRPr="0064120E">
        <w:rPr>
          <w:rFonts w:asciiTheme="majorHAnsi" w:hAnsiTheme="majorHAnsi" w:cstheme="majorHAnsi"/>
          <w:sz w:val="20"/>
          <w:szCs w:val="20"/>
        </w:rPr>
        <w:t>launched a new customized Human Wildlife Conflict Field App on Blackview smartphones that the team utilizes in the field for real-time data collection data on conflict incidents, activities implemented, and regular monitoring of existing mitigation activities. These data will later be used in Earth Ranger alongside real-time elephant movement data for monitoring and operational purposes.</w:t>
      </w:r>
    </w:p>
    <w:p w14:paraId="1E15ACFC" w14:textId="409A0049" w:rsidR="0064120E" w:rsidRDefault="0064120E" w:rsidP="0064120E">
      <w:pPr>
        <w:adjustRightInd w:val="0"/>
        <w:jc w:val="both"/>
        <w:rPr>
          <w:rFonts w:asciiTheme="majorHAnsi" w:hAnsiTheme="majorHAnsi" w:cstheme="majorHAnsi"/>
          <w:sz w:val="20"/>
          <w:szCs w:val="20"/>
        </w:rPr>
      </w:pPr>
    </w:p>
    <w:p w14:paraId="6F09C7F5" w14:textId="2C7FFA40" w:rsidR="0064120E" w:rsidRDefault="00450BB4" w:rsidP="0064120E">
      <w:pPr>
        <w:adjustRightInd w:val="0"/>
        <w:jc w:val="both"/>
        <w:rPr>
          <w:rFonts w:asciiTheme="majorHAnsi" w:hAnsiTheme="majorHAnsi" w:cstheme="majorHAnsi"/>
          <w:sz w:val="20"/>
          <w:szCs w:val="20"/>
        </w:rPr>
      </w:pPr>
      <w:r w:rsidRPr="00B70467">
        <w:rPr>
          <w:noProof/>
          <w:lang w:val="pt-BR" w:eastAsia="pt-BR"/>
        </w:rPr>
        <w:drawing>
          <wp:inline distT="0" distB="0" distL="0" distR="0" wp14:anchorId="40E9A6B6" wp14:editId="0DBA4B7D">
            <wp:extent cx="2806810" cy="171816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52687" cy="1746245"/>
                    </a:xfrm>
                    <a:prstGeom prst="rect">
                      <a:avLst/>
                    </a:prstGeom>
                    <a:noFill/>
                    <a:ln>
                      <a:noFill/>
                    </a:ln>
                  </pic:spPr>
                </pic:pic>
              </a:graphicData>
            </a:graphic>
          </wp:inline>
        </w:drawing>
      </w:r>
    </w:p>
    <w:p w14:paraId="44B041BE" w14:textId="6C40866D" w:rsidR="00450BB4" w:rsidRDefault="006708AA" w:rsidP="0064120E">
      <w:pPr>
        <w:adjustRightInd w:val="0"/>
        <w:jc w:val="both"/>
        <w:rPr>
          <w:rFonts w:asciiTheme="majorHAnsi" w:hAnsiTheme="majorHAnsi" w:cstheme="majorHAnsi"/>
          <w:i/>
          <w:iCs/>
          <w:sz w:val="20"/>
          <w:szCs w:val="20"/>
        </w:rPr>
      </w:pPr>
      <w:r w:rsidRPr="006708AA">
        <w:rPr>
          <w:rFonts w:asciiTheme="majorHAnsi" w:hAnsiTheme="majorHAnsi" w:cstheme="majorHAnsi"/>
          <w:i/>
          <w:iCs/>
          <w:sz w:val="20"/>
          <w:szCs w:val="20"/>
        </w:rPr>
        <w:t>Gorongosa Restauration Park:  Fifteen women collaborators will take ownership of and operate elephant proof fences while producing income-generating profits from honey, produced through 400 beehives</w:t>
      </w:r>
    </w:p>
    <w:p w14:paraId="360BDBE1" w14:textId="77777777" w:rsidR="005470D8" w:rsidRDefault="005470D8" w:rsidP="0064120E">
      <w:pPr>
        <w:adjustRightInd w:val="0"/>
        <w:jc w:val="both"/>
        <w:rPr>
          <w:rFonts w:asciiTheme="majorHAnsi" w:hAnsiTheme="majorHAnsi" w:cstheme="majorHAnsi"/>
          <w:i/>
          <w:iCs/>
          <w:sz w:val="20"/>
          <w:szCs w:val="20"/>
        </w:rPr>
        <w:sectPr w:rsidR="005470D8" w:rsidSect="005470D8">
          <w:type w:val="continuous"/>
          <w:pgSz w:w="12240" w:h="15840"/>
          <w:pgMar w:top="1440" w:right="1440" w:bottom="1440" w:left="1440" w:header="720" w:footer="720" w:gutter="0"/>
          <w:pgNumType w:start="0"/>
          <w:cols w:num="2" w:space="720"/>
          <w:titlePg/>
          <w:docGrid w:linePitch="360"/>
        </w:sectPr>
      </w:pPr>
    </w:p>
    <w:p w14:paraId="0271ECE0" w14:textId="7F2B2A8A" w:rsidR="006708AA" w:rsidRDefault="006708AA" w:rsidP="0064120E">
      <w:pPr>
        <w:adjustRightInd w:val="0"/>
        <w:jc w:val="both"/>
        <w:rPr>
          <w:rFonts w:asciiTheme="majorHAnsi" w:hAnsiTheme="majorHAnsi" w:cstheme="majorHAnsi"/>
          <w:i/>
          <w:iCs/>
          <w:sz w:val="20"/>
          <w:szCs w:val="20"/>
        </w:rPr>
      </w:pPr>
    </w:p>
    <w:p w14:paraId="318E3DCD" w14:textId="33C9B498" w:rsidR="006708AA" w:rsidRDefault="006708AA" w:rsidP="0064120E">
      <w:pPr>
        <w:adjustRightInd w:val="0"/>
        <w:jc w:val="both"/>
        <w:rPr>
          <w:rFonts w:asciiTheme="majorHAnsi" w:hAnsiTheme="majorHAnsi" w:cstheme="majorHAnsi"/>
          <w:i/>
          <w:iCs/>
          <w:sz w:val="20"/>
          <w:szCs w:val="20"/>
        </w:rPr>
      </w:pPr>
    </w:p>
    <w:p w14:paraId="5C220A27" w14:textId="766D5AAE" w:rsidR="006708AA" w:rsidRDefault="006708AA" w:rsidP="0064120E">
      <w:pPr>
        <w:adjustRightInd w:val="0"/>
        <w:jc w:val="both"/>
        <w:rPr>
          <w:rFonts w:asciiTheme="majorHAnsi" w:hAnsiTheme="majorHAnsi" w:cstheme="majorHAnsi"/>
          <w:i/>
          <w:iCs/>
          <w:sz w:val="20"/>
          <w:szCs w:val="20"/>
        </w:rPr>
      </w:pPr>
    </w:p>
    <w:p w14:paraId="5C3CAE09" w14:textId="353A914D" w:rsidR="006708AA" w:rsidRDefault="006708AA" w:rsidP="0064120E">
      <w:pPr>
        <w:adjustRightInd w:val="0"/>
        <w:jc w:val="both"/>
        <w:rPr>
          <w:rFonts w:asciiTheme="majorHAnsi" w:hAnsiTheme="majorHAnsi" w:cstheme="majorHAnsi"/>
          <w:i/>
          <w:iCs/>
          <w:sz w:val="20"/>
          <w:szCs w:val="20"/>
        </w:rPr>
      </w:pPr>
    </w:p>
    <w:p w14:paraId="22E4F551" w14:textId="5AD2153F" w:rsidR="006708AA" w:rsidRDefault="006708AA" w:rsidP="0064120E">
      <w:pPr>
        <w:adjustRightInd w:val="0"/>
        <w:jc w:val="both"/>
        <w:rPr>
          <w:rFonts w:asciiTheme="majorHAnsi" w:hAnsiTheme="majorHAnsi" w:cstheme="majorHAnsi"/>
          <w:i/>
          <w:iCs/>
          <w:sz w:val="20"/>
          <w:szCs w:val="20"/>
        </w:rPr>
      </w:pPr>
    </w:p>
    <w:p w14:paraId="4885F817" w14:textId="0371D7B2" w:rsidR="006708AA" w:rsidRDefault="006708AA" w:rsidP="0064120E">
      <w:pPr>
        <w:adjustRightInd w:val="0"/>
        <w:jc w:val="both"/>
        <w:rPr>
          <w:rFonts w:asciiTheme="majorHAnsi" w:hAnsiTheme="majorHAnsi" w:cstheme="majorHAnsi"/>
          <w:i/>
          <w:iCs/>
          <w:sz w:val="20"/>
          <w:szCs w:val="20"/>
        </w:rPr>
      </w:pPr>
    </w:p>
    <w:p w14:paraId="416C676F" w14:textId="28C55E21" w:rsidR="006708AA" w:rsidRDefault="006708AA" w:rsidP="0064120E">
      <w:pPr>
        <w:adjustRightInd w:val="0"/>
        <w:jc w:val="both"/>
        <w:rPr>
          <w:rFonts w:asciiTheme="majorHAnsi" w:hAnsiTheme="majorHAnsi" w:cstheme="majorHAnsi"/>
          <w:i/>
          <w:iCs/>
          <w:sz w:val="20"/>
          <w:szCs w:val="20"/>
        </w:rPr>
      </w:pPr>
    </w:p>
    <w:p w14:paraId="36B8D0C9" w14:textId="77FD6B51" w:rsidR="006708AA" w:rsidRDefault="006708AA" w:rsidP="0064120E">
      <w:pPr>
        <w:adjustRightInd w:val="0"/>
        <w:jc w:val="both"/>
        <w:rPr>
          <w:rFonts w:asciiTheme="majorHAnsi" w:hAnsiTheme="majorHAnsi" w:cstheme="majorHAnsi"/>
          <w:i/>
          <w:iCs/>
          <w:sz w:val="20"/>
          <w:szCs w:val="20"/>
        </w:rPr>
      </w:pPr>
    </w:p>
    <w:p w14:paraId="500B0720" w14:textId="6B4E46CD" w:rsidR="006708AA" w:rsidRDefault="006708AA" w:rsidP="0064120E">
      <w:pPr>
        <w:adjustRightInd w:val="0"/>
        <w:jc w:val="both"/>
        <w:rPr>
          <w:rFonts w:asciiTheme="majorHAnsi" w:hAnsiTheme="majorHAnsi" w:cstheme="majorHAnsi"/>
          <w:i/>
          <w:iCs/>
          <w:sz w:val="20"/>
          <w:szCs w:val="20"/>
        </w:rPr>
      </w:pPr>
    </w:p>
    <w:p w14:paraId="34FF057C" w14:textId="541809B0" w:rsidR="006708AA" w:rsidRDefault="006708AA" w:rsidP="0064120E">
      <w:pPr>
        <w:adjustRightInd w:val="0"/>
        <w:jc w:val="both"/>
        <w:rPr>
          <w:rFonts w:asciiTheme="majorHAnsi" w:hAnsiTheme="majorHAnsi" w:cstheme="majorHAnsi"/>
          <w:i/>
          <w:iCs/>
          <w:sz w:val="20"/>
          <w:szCs w:val="20"/>
        </w:rPr>
      </w:pPr>
    </w:p>
    <w:p w14:paraId="39388393" w14:textId="3EEEB2AF" w:rsidR="006708AA" w:rsidRDefault="006708AA" w:rsidP="0064120E">
      <w:pPr>
        <w:adjustRightInd w:val="0"/>
        <w:jc w:val="both"/>
        <w:rPr>
          <w:rFonts w:asciiTheme="majorHAnsi" w:hAnsiTheme="majorHAnsi" w:cstheme="majorHAnsi"/>
          <w:i/>
          <w:iCs/>
          <w:sz w:val="20"/>
          <w:szCs w:val="20"/>
        </w:rPr>
      </w:pPr>
    </w:p>
    <w:p w14:paraId="6649A6DC" w14:textId="273C71A4" w:rsidR="005470D8" w:rsidRDefault="005470D8" w:rsidP="0064120E">
      <w:pPr>
        <w:adjustRightInd w:val="0"/>
        <w:jc w:val="both"/>
        <w:rPr>
          <w:rFonts w:asciiTheme="majorHAnsi" w:hAnsiTheme="majorHAnsi" w:cstheme="majorHAnsi"/>
          <w:i/>
          <w:iCs/>
          <w:sz w:val="20"/>
          <w:szCs w:val="20"/>
        </w:rPr>
      </w:pPr>
    </w:p>
    <w:p w14:paraId="54E05E2B" w14:textId="3E897D4D" w:rsidR="005470D8" w:rsidRDefault="005470D8" w:rsidP="0064120E">
      <w:pPr>
        <w:adjustRightInd w:val="0"/>
        <w:jc w:val="both"/>
        <w:rPr>
          <w:rFonts w:asciiTheme="majorHAnsi" w:hAnsiTheme="majorHAnsi" w:cstheme="majorHAnsi"/>
          <w:i/>
          <w:iCs/>
          <w:sz w:val="20"/>
          <w:szCs w:val="20"/>
        </w:rPr>
      </w:pPr>
    </w:p>
    <w:p w14:paraId="3B98B91B" w14:textId="6D021B3F" w:rsidR="005470D8" w:rsidRDefault="005470D8" w:rsidP="0064120E">
      <w:pPr>
        <w:adjustRightInd w:val="0"/>
        <w:jc w:val="both"/>
        <w:rPr>
          <w:rFonts w:asciiTheme="majorHAnsi" w:hAnsiTheme="majorHAnsi" w:cstheme="majorHAnsi"/>
          <w:i/>
          <w:iCs/>
          <w:sz w:val="20"/>
          <w:szCs w:val="20"/>
        </w:rPr>
      </w:pPr>
    </w:p>
    <w:p w14:paraId="04DC22F2" w14:textId="0C35567D" w:rsidR="005470D8" w:rsidRDefault="005470D8" w:rsidP="0064120E">
      <w:pPr>
        <w:adjustRightInd w:val="0"/>
        <w:jc w:val="both"/>
        <w:rPr>
          <w:rFonts w:asciiTheme="majorHAnsi" w:hAnsiTheme="majorHAnsi" w:cstheme="majorHAnsi"/>
          <w:i/>
          <w:iCs/>
          <w:sz w:val="20"/>
          <w:szCs w:val="20"/>
        </w:rPr>
      </w:pPr>
    </w:p>
    <w:p w14:paraId="7543B234" w14:textId="77777777" w:rsidR="005470D8" w:rsidRDefault="005470D8" w:rsidP="0064120E">
      <w:pPr>
        <w:adjustRightInd w:val="0"/>
        <w:jc w:val="both"/>
        <w:rPr>
          <w:rFonts w:asciiTheme="majorHAnsi" w:hAnsiTheme="majorHAnsi" w:cstheme="majorHAnsi"/>
          <w:i/>
          <w:iCs/>
          <w:sz w:val="20"/>
          <w:szCs w:val="20"/>
        </w:rPr>
      </w:pPr>
    </w:p>
    <w:p w14:paraId="03DC7B20" w14:textId="3C6C3A77" w:rsidR="006708AA" w:rsidRDefault="006708AA" w:rsidP="0064120E">
      <w:pPr>
        <w:adjustRightInd w:val="0"/>
        <w:jc w:val="both"/>
        <w:rPr>
          <w:rFonts w:asciiTheme="majorHAnsi" w:hAnsiTheme="majorHAnsi" w:cstheme="majorHAnsi"/>
          <w:i/>
          <w:iCs/>
          <w:sz w:val="20"/>
          <w:szCs w:val="20"/>
        </w:rPr>
      </w:pPr>
    </w:p>
    <w:p w14:paraId="1F0BB7C8" w14:textId="77777777" w:rsidR="006708AA" w:rsidRDefault="006708AA" w:rsidP="0064120E">
      <w:pPr>
        <w:adjustRightInd w:val="0"/>
        <w:jc w:val="both"/>
        <w:rPr>
          <w:rFonts w:asciiTheme="majorHAnsi" w:hAnsiTheme="majorHAnsi" w:cstheme="majorHAnsi"/>
          <w:i/>
          <w:iCs/>
          <w:sz w:val="20"/>
          <w:szCs w:val="20"/>
        </w:rPr>
      </w:pPr>
    </w:p>
    <w:p w14:paraId="78FDCC78" w14:textId="17305F89" w:rsidR="006708AA" w:rsidRDefault="006708AA" w:rsidP="0064120E">
      <w:pPr>
        <w:adjustRightInd w:val="0"/>
        <w:jc w:val="both"/>
        <w:rPr>
          <w:rFonts w:asciiTheme="majorHAnsi" w:hAnsiTheme="majorHAnsi" w:cstheme="majorHAnsi"/>
          <w:i/>
          <w:iCs/>
          <w:sz w:val="20"/>
          <w:szCs w:val="20"/>
        </w:rPr>
      </w:pPr>
    </w:p>
    <w:p w14:paraId="02C6EDE9" w14:textId="77777777" w:rsidR="006708AA" w:rsidRPr="006708AA" w:rsidRDefault="006708AA" w:rsidP="0064120E">
      <w:pPr>
        <w:adjustRightInd w:val="0"/>
        <w:jc w:val="both"/>
        <w:rPr>
          <w:rFonts w:asciiTheme="majorHAnsi" w:hAnsiTheme="majorHAnsi" w:cstheme="majorHAnsi"/>
          <w:i/>
          <w:iCs/>
          <w:sz w:val="20"/>
          <w:szCs w:val="20"/>
        </w:rPr>
      </w:pPr>
    </w:p>
    <w:p w14:paraId="0FBCA04C" w14:textId="7ED70736" w:rsidR="00F06DB7" w:rsidRPr="00F22F32" w:rsidRDefault="00F06DB7" w:rsidP="002B288E">
      <w:pPr>
        <w:pStyle w:val="Heading3"/>
        <w:numPr>
          <w:ilvl w:val="0"/>
          <w:numId w:val="57"/>
        </w:numPr>
        <w:ind w:left="720" w:hanging="360"/>
        <w:rPr>
          <w:rFonts w:eastAsia="Times New Roman"/>
          <w:b/>
          <w:bCs/>
          <w:color w:val="auto"/>
          <w:sz w:val="20"/>
          <w:szCs w:val="20"/>
        </w:rPr>
      </w:pPr>
      <w:bookmarkStart w:id="22" w:name="_Toc71207078"/>
      <w:r w:rsidRPr="00F22F32">
        <w:rPr>
          <w:rFonts w:eastAsia="Times New Roman"/>
          <w:b/>
          <w:bCs/>
          <w:color w:val="auto"/>
          <w:sz w:val="20"/>
          <w:szCs w:val="20"/>
        </w:rPr>
        <w:lastRenderedPageBreak/>
        <w:t>RESILIENCE</w:t>
      </w:r>
      <w:bookmarkEnd w:id="22"/>
    </w:p>
    <w:p w14:paraId="320391B5" w14:textId="4DF99C67" w:rsidR="00A1456B" w:rsidRPr="00F22F32" w:rsidRDefault="00A1456B" w:rsidP="00A1456B"/>
    <w:p w14:paraId="7BF1F87A" w14:textId="2A4B889E" w:rsidR="00A1456B" w:rsidRPr="00F22F32" w:rsidRDefault="00A1456B" w:rsidP="00A1456B">
      <w:r>
        <w:rPr>
          <w:noProof/>
        </w:rPr>
        <w:drawing>
          <wp:inline distT="0" distB="0" distL="0" distR="0" wp14:anchorId="14130547" wp14:editId="0FF65315">
            <wp:extent cx="5896051" cy="3447834"/>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55">
                      <a:extLst>
                        <a:ext uri="{28A0092B-C50C-407E-A947-70E740481C1C}">
                          <a14:useLocalDpi xmlns:a14="http://schemas.microsoft.com/office/drawing/2010/main" val="0"/>
                        </a:ext>
                      </a:extLst>
                    </a:blip>
                    <a:stretch>
                      <a:fillRect/>
                    </a:stretch>
                  </pic:blipFill>
                  <pic:spPr>
                    <a:xfrm>
                      <a:off x="0" y="0"/>
                      <a:ext cx="5896051" cy="3447834"/>
                    </a:xfrm>
                    <a:prstGeom prst="rect">
                      <a:avLst/>
                    </a:prstGeom>
                  </pic:spPr>
                </pic:pic>
              </a:graphicData>
            </a:graphic>
          </wp:inline>
        </w:drawing>
      </w:r>
    </w:p>
    <w:p w14:paraId="2CF381C7" w14:textId="77777777" w:rsidR="00140A95" w:rsidRDefault="00140A95" w:rsidP="00CE6D0C">
      <w:pPr>
        <w:tabs>
          <w:tab w:val="left" w:pos="990"/>
        </w:tabs>
        <w:jc w:val="both"/>
        <w:rPr>
          <w:rFonts w:asciiTheme="majorHAnsi" w:hAnsiTheme="majorHAnsi" w:cstheme="majorHAnsi"/>
          <w:b/>
          <w:bCs/>
          <w:sz w:val="20"/>
          <w:szCs w:val="20"/>
        </w:rPr>
        <w:sectPr w:rsidR="00140A95" w:rsidSect="005B27FF">
          <w:type w:val="continuous"/>
          <w:pgSz w:w="12240" w:h="15840"/>
          <w:pgMar w:top="1440" w:right="1440" w:bottom="1440" w:left="1440" w:header="720" w:footer="720" w:gutter="0"/>
          <w:pgNumType w:start="0"/>
          <w:cols w:space="720"/>
          <w:titlePg/>
          <w:docGrid w:linePitch="360"/>
        </w:sectPr>
      </w:pPr>
    </w:p>
    <w:p w14:paraId="1B3A66B0" w14:textId="16DCBAB5" w:rsidR="00CE6D0C" w:rsidRPr="00F22F32" w:rsidRDefault="00CE6D0C" w:rsidP="00CE6D0C">
      <w:pPr>
        <w:tabs>
          <w:tab w:val="left" w:pos="990"/>
        </w:tabs>
        <w:jc w:val="both"/>
        <w:rPr>
          <w:rFonts w:asciiTheme="majorHAnsi" w:hAnsiTheme="majorHAnsi" w:cstheme="majorHAnsi"/>
          <w:b/>
          <w:bCs/>
          <w:sz w:val="20"/>
          <w:szCs w:val="20"/>
        </w:rPr>
      </w:pPr>
      <w:r w:rsidRPr="00F22F32">
        <w:rPr>
          <w:rFonts w:asciiTheme="majorHAnsi" w:hAnsiTheme="majorHAnsi" w:cstheme="majorHAnsi"/>
          <w:b/>
          <w:bCs/>
          <w:sz w:val="20"/>
          <w:szCs w:val="20"/>
        </w:rPr>
        <w:t>Key achievements</w:t>
      </w:r>
    </w:p>
    <w:p w14:paraId="4D394266" w14:textId="77777777" w:rsidR="008C0637" w:rsidRPr="00F22F32" w:rsidRDefault="008C0637" w:rsidP="008C0637">
      <w:pPr>
        <w:pStyle w:val="NoSpacing"/>
        <w:jc w:val="both"/>
        <w:rPr>
          <w:rFonts w:asciiTheme="majorHAnsi" w:hAnsiTheme="majorHAnsi" w:cstheme="majorHAnsi"/>
          <w:sz w:val="20"/>
          <w:szCs w:val="20"/>
        </w:rPr>
      </w:pPr>
      <w:r w:rsidRPr="00F22F32">
        <w:rPr>
          <w:rFonts w:asciiTheme="majorHAnsi" w:eastAsia="Times New Roman" w:hAnsiTheme="majorHAnsi" w:cstheme="majorHAnsi"/>
          <w:sz w:val="20"/>
          <w:szCs w:val="20"/>
          <w:lang w:eastAsia="en-GB"/>
        </w:rPr>
        <w:t>The UN supported the National Institute of Meteorology (INAM) to increase its capacity to collect and report climate information</w:t>
      </w:r>
      <w:r w:rsidRPr="00F22F32">
        <w:rPr>
          <w:rStyle w:val="FootnoteReference"/>
          <w:rFonts w:asciiTheme="majorHAnsi" w:eastAsia="Times New Roman" w:hAnsiTheme="majorHAnsi" w:cstheme="majorHAnsi"/>
          <w:sz w:val="20"/>
          <w:szCs w:val="20"/>
          <w:lang w:eastAsia="en-GB"/>
        </w:rPr>
        <w:footnoteReference w:id="22"/>
      </w:r>
      <w:r w:rsidRPr="00F22F32">
        <w:rPr>
          <w:rFonts w:asciiTheme="majorHAnsi" w:eastAsia="Times New Roman" w:hAnsiTheme="majorHAnsi" w:cstheme="majorHAnsi"/>
          <w:sz w:val="20"/>
          <w:szCs w:val="20"/>
          <w:lang w:eastAsia="en-GB"/>
        </w:rPr>
        <w:t xml:space="preserve">; </w:t>
      </w:r>
      <w:r w:rsidRPr="00F22F32">
        <w:rPr>
          <w:rFonts w:asciiTheme="majorHAnsi" w:hAnsiTheme="majorHAnsi" w:cstheme="majorHAnsi"/>
          <w:sz w:val="20"/>
          <w:szCs w:val="20"/>
        </w:rPr>
        <w:t>strengthened the Government’s Capacity for Early Warning</w:t>
      </w:r>
      <w:r w:rsidRPr="00F22F32">
        <w:rPr>
          <w:rStyle w:val="FootnoteReference"/>
          <w:rFonts w:asciiTheme="majorHAnsi" w:hAnsiTheme="majorHAnsi" w:cstheme="majorHAnsi"/>
          <w:sz w:val="20"/>
          <w:szCs w:val="20"/>
        </w:rPr>
        <w:footnoteReference w:id="23"/>
      </w:r>
      <w:r w:rsidRPr="00F22F32">
        <w:rPr>
          <w:rFonts w:asciiTheme="majorHAnsi" w:hAnsiTheme="majorHAnsi" w:cstheme="majorHAnsi"/>
          <w:sz w:val="20"/>
          <w:szCs w:val="20"/>
        </w:rPr>
        <w:t xml:space="preserve"> and enhanced l</w:t>
      </w:r>
      <w:r w:rsidRPr="00F22F32">
        <w:rPr>
          <w:rFonts w:asciiTheme="majorHAnsi" w:hAnsiTheme="majorHAnsi" w:cstheme="majorHAnsi"/>
          <w:bCs/>
          <w:sz w:val="20"/>
          <w:szCs w:val="20"/>
        </w:rPr>
        <w:t>ocal capacities for climate change adaption and disaster risk reduction</w:t>
      </w:r>
      <w:r w:rsidRPr="00F22F32">
        <w:rPr>
          <w:rStyle w:val="FootnoteReference"/>
          <w:rFonts w:asciiTheme="majorHAnsi" w:hAnsiTheme="majorHAnsi" w:cstheme="majorHAnsi"/>
          <w:bCs/>
          <w:sz w:val="20"/>
          <w:szCs w:val="20"/>
        </w:rPr>
        <w:footnoteReference w:id="24"/>
      </w:r>
      <w:r w:rsidRPr="00F22F32">
        <w:rPr>
          <w:rFonts w:asciiTheme="majorHAnsi" w:hAnsiTheme="majorHAnsi" w:cstheme="majorHAnsi"/>
          <w:bCs/>
          <w:sz w:val="20"/>
          <w:szCs w:val="20"/>
        </w:rPr>
        <w:t xml:space="preserve">. </w:t>
      </w:r>
      <w:r w:rsidRPr="00F22F32">
        <w:rPr>
          <w:rFonts w:asciiTheme="majorHAnsi" w:eastAsia="Times New Roman" w:hAnsiTheme="majorHAnsi" w:cstheme="majorHAnsi"/>
          <w:sz w:val="20"/>
          <w:szCs w:val="20"/>
          <w:lang w:eastAsia="en-GB"/>
        </w:rPr>
        <w:t>Technical support was provided to CENOE to operationalize the information management system for disaster preparedness and response</w:t>
      </w:r>
      <w:r w:rsidRPr="00F22F32">
        <w:rPr>
          <w:rStyle w:val="FootnoteReference"/>
          <w:rFonts w:asciiTheme="majorHAnsi" w:eastAsia="Times New Roman" w:hAnsiTheme="majorHAnsi" w:cstheme="majorHAnsi"/>
          <w:sz w:val="20"/>
          <w:szCs w:val="20"/>
          <w:lang w:eastAsia="en-GB"/>
        </w:rPr>
        <w:footnoteReference w:id="25"/>
      </w:r>
      <w:r w:rsidRPr="00F22F32">
        <w:rPr>
          <w:rFonts w:asciiTheme="majorHAnsi" w:eastAsia="Times New Roman" w:hAnsiTheme="majorHAnsi" w:cstheme="majorHAnsi"/>
          <w:sz w:val="20"/>
          <w:szCs w:val="20"/>
          <w:lang w:eastAsia="en-GB"/>
        </w:rPr>
        <w:t xml:space="preserve">. Additionally, the UN strengthened the capacity of the Government Reconstruction Cabinet (GREPOC) to manage, monitor and coordinate disaster recovery and capacity of Ministry of Public Works through WASH cluster coordination engagement. </w:t>
      </w:r>
      <w:r w:rsidRPr="00F22F32">
        <w:rPr>
          <w:rFonts w:asciiTheme="majorHAnsi" w:hAnsiTheme="majorHAnsi" w:cstheme="majorHAnsi"/>
          <w:sz w:val="20"/>
          <w:szCs w:val="20"/>
        </w:rPr>
        <w:t xml:space="preserve">The UN was involved in the drafting of guidelines and standards for safe and resilient construction of public buildings in line with BBB principles and contributed to the development of development of the Housing Reconstruction and Rehabilitation Guideline (PALPOC) developed by GREPOC. </w:t>
      </w:r>
    </w:p>
    <w:p w14:paraId="28B51A20" w14:textId="2C3289DF" w:rsidR="008C0637" w:rsidRDefault="008C0637" w:rsidP="008C0637">
      <w:pPr>
        <w:pStyle w:val="NoSpacing"/>
        <w:jc w:val="both"/>
        <w:rPr>
          <w:rFonts w:asciiTheme="majorHAnsi" w:hAnsiTheme="majorHAnsi" w:cstheme="majorHAnsi"/>
          <w:sz w:val="20"/>
          <w:szCs w:val="20"/>
        </w:rPr>
      </w:pPr>
      <w:r w:rsidRPr="00F22F32">
        <w:rPr>
          <w:rFonts w:asciiTheme="majorHAnsi" w:hAnsiTheme="majorHAnsi" w:cstheme="majorHAnsi"/>
          <w:sz w:val="20"/>
          <w:szCs w:val="20"/>
        </w:rPr>
        <w:t>Finally, the at the community level, the UN supported farmers to increase adoption of CCA practices</w:t>
      </w:r>
      <w:r w:rsidRPr="00F22F32">
        <w:rPr>
          <w:rStyle w:val="FootnoteReference"/>
          <w:rFonts w:asciiTheme="majorHAnsi" w:hAnsiTheme="majorHAnsi" w:cstheme="majorHAnsi"/>
          <w:sz w:val="20"/>
          <w:szCs w:val="20"/>
        </w:rPr>
        <w:footnoteReference w:id="26"/>
      </w:r>
      <w:r w:rsidRPr="00F22F32">
        <w:rPr>
          <w:rFonts w:asciiTheme="majorHAnsi" w:hAnsiTheme="majorHAnsi" w:cstheme="majorHAnsi"/>
          <w:sz w:val="20"/>
          <w:szCs w:val="20"/>
        </w:rPr>
        <w:t>.</w:t>
      </w:r>
    </w:p>
    <w:p w14:paraId="29DFF3D3" w14:textId="20698491" w:rsidR="001A2DE6" w:rsidRDefault="001A2DE6" w:rsidP="008C0637">
      <w:pPr>
        <w:pStyle w:val="NoSpacing"/>
        <w:jc w:val="both"/>
        <w:rPr>
          <w:rFonts w:asciiTheme="majorHAnsi" w:hAnsiTheme="majorHAnsi" w:cstheme="majorHAnsi"/>
          <w:sz w:val="20"/>
          <w:szCs w:val="20"/>
        </w:rPr>
      </w:pPr>
    </w:p>
    <w:p w14:paraId="0B0F781C" w14:textId="2477C801" w:rsidR="001A2DE6" w:rsidRPr="00A95025" w:rsidRDefault="00DB4B25" w:rsidP="00DB4B25">
      <w:pPr>
        <w:pStyle w:val="NoSpacing"/>
        <w:jc w:val="both"/>
        <w:rPr>
          <w:rFonts w:asciiTheme="majorHAnsi" w:hAnsiTheme="majorHAnsi" w:cstheme="majorHAnsi"/>
          <w:b/>
          <w:bCs/>
          <w:sz w:val="20"/>
          <w:szCs w:val="20"/>
        </w:rPr>
      </w:pPr>
      <w:r w:rsidRPr="00A95025">
        <w:rPr>
          <w:rFonts w:asciiTheme="majorHAnsi" w:hAnsiTheme="majorHAnsi" w:cstheme="majorHAnsi"/>
          <w:b/>
          <w:bCs/>
          <w:sz w:val="20"/>
          <w:szCs w:val="20"/>
        </w:rPr>
        <w:t>Building Resilient Communities in Mozambique “Where there is life, there is hope”</w:t>
      </w:r>
      <w:r w:rsidR="00A95025" w:rsidRPr="00A95025">
        <w:rPr>
          <w:rFonts w:asciiTheme="majorHAnsi" w:hAnsiTheme="majorHAnsi" w:cstheme="majorHAnsi"/>
          <w:b/>
          <w:bCs/>
          <w:sz w:val="20"/>
          <w:szCs w:val="20"/>
        </w:rPr>
        <w:t xml:space="preserve"> Resilient House</w:t>
      </w:r>
    </w:p>
    <w:p w14:paraId="2240971F" w14:textId="06B6A8E3" w:rsidR="00A95025" w:rsidRPr="0063523D" w:rsidRDefault="0063523D" w:rsidP="00DB4B25">
      <w:pPr>
        <w:pStyle w:val="NoSpacing"/>
        <w:jc w:val="both"/>
        <w:rPr>
          <w:rFonts w:asciiTheme="majorHAnsi" w:hAnsiTheme="majorHAnsi" w:cstheme="majorHAnsi"/>
          <w:i/>
          <w:iCs/>
          <w:sz w:val="20"/>
          <w:szCs w:val="20"/>
        </w:rPr>
      </w:pPr>
      <w:r w:rsidRPr="0063523D">
        <w:rPr>
          <w:rFonts w:asciiTheme="majorHAnsi" w:hAnsiTheme="majorHAnsi" w:cstheme="majorHAnsi"/>
          <w:i/>
          <w:iCs/>
          <w:sz w:val="20"/>
          <w:szCs w:val="20"/>
        </w:rPr>
        <w:t>After Cyclone Idai, Cecília Chata Valentim, a young mother, and the seven children under her care were resettled to Mandruzi site to start a life. The UN supports Cecília through new housing and women economic empowerment activities.</w:t>
      </w:r>
    </w:p>
    <w:p w14:paraId="231A9DFF" w14:textId="77777777" w:rsidR="00A94C89" w:rsidRPr="00A94C89" w:rsidRDefault="00A94C89" w:rsidP="00A94C89">
      <w:pPr>
        <w:pStyle w:val="NoSpacing"/>
        <w:jc w:val="both"/>
        <w:rPr>
          <w:rFonts w:asciiTheme="majorHAnsi" w:hAnsiTheme="majorHAnsi" w:cstheme="majorHAnsi"/>
          <w:sz w:val="20"/>
          <w:szCs w:val="20"/>
        </w:rPr>
      </w:pPr>
      <w:r w:rsidRPr="00A94C89">
        <w:rPr>
          <w:rFonts w:asciiTheme="majorHAnsi" w:hAnsiTheme="majorHAnsi" w:cstheme="majorHAnsi"/>
          <w:sz w:val="20"/>
          <w:szCs w:val="20"/>
        </w:rPr>
        <w:t>A mud house in a flood plain, describes the home of Cecília, 24, her four children and three orphan nephews lived before Cyclone Idai, which affected 1.8 million people in Mozambique in 2019. “Due to the  cyclone, I lost my house and documents. I worked with agriculture and managed to sell my produce, but after Cyclone Idai, I had no money and nowhere to live. I thought about how I could go on with my life to get back to normal”, she recalls.</w:t>
      </w:r>
    </w:p>
    <w:p w14:paraId="4F2C071E" w14:textId="10EAB97D" w:rsidR="00A94C89" w:rsidRDefault="00A94C89" w:rsidP="00A94C89">
      <w:pPr>
        <w:pStyle w:val="NoSpacing"/>
        <w:jc w:val="both"/>
        <w:rPr>
          <w:rFonts w:asciiTheme="majorHAnsi" w:hAnsiTheme="majorHAnsi" w:cstheme="majorHAnsi"/>
          <w:sz w:val="20"/>
          <w:szCs w:val="20"/>
        </w:rPr>
      </w:pPr>
      <w:r w:rsidRPr="00A94C89">
        <w:rPr>
          <w:rFonts w:asciiTheme="majorHAnsi" w:hAnsiTheme="majorHAnsi" w:cstheme="majorHAnsi"/>
          <w:sz w:val="20"/>
          <w:szCs w:val="20"/>
        </w:rPr>
        <w:t xml:space="preserve">To start over, Cecília and the seven children moved to the Mandruzi resettlement site, an area designated by </w:t>
      </w:r>
      <w:r w:rsidRPr="00A94C89">
        <w:rPr>
          <w:rFonts w:asciiTheme="majorHAnsi" w:hAnsiTheme="majorHAnsi" w:cstheme="majorHAnsi"/>
          <w:sz w:val="20"/>
          <w:szCs w:val="20"/>
        </w:rPr>
        <w:lastRenderedPageBreak/>
        <w:t>the local government as grant land for vulnerable displaced families and set with a neighborhood development plan. “At that time, the important thing for me was that the place was safer and we would have our own space, without having to leave afterwards”, said Cecília, remembering the schools and temporary shelters where they had flee before.</w:t>
      </w:r>
    </w:p>
    <w:p w14:paraId="17DAACBB" w14:textId="3B213DE0" w:rsidR="00341A08" w:rsidRDefault="00341A08" w:rsidP="00A94C89">
      <w:pPr>
        <w:pStyle w:val="NoSpacing"/>
        <w:jc w:val="both"/>
        <w:rPr>
          <w:rFonts w:asciiTheme="majorHAnsi" w:hAnsiTheme="majorHAnsi" w:cstheme="majorHAnsi"/>
          <w:sz w:val="20"/>
          <w:szCs w:val="20"/>
        </w:rPr>
      </w:pPr>
    </w:p>
    <w:p w14:paraId="054FA035" w14:textId="5AC1BEF5" w:rsidR="00341A08" w:rsidRDefault="00341A08" w:rsidP="00A94C89">
      <w:pPr>
        <w:pStyle w:val="NoSpacing"/>
        <w:jc w:val="both"/>
        <w:rPr>
          <w:rFonts w:asciiTheme="majorHAnsi" w:hAnsiTheme="majorHAnsi" w:cstheme="majorHAnsi"/>
          <w:sz w:val="20"/>
          <w:szCs w:val="20"/>
        </w:rPr>
      </w:pPr>
      <w:r>
        <w:rPr>
          <w:noProof/>
        </w:rPr>
        <w:drawing>
          <wp:inline distT="0" distB="0" distL="0" distR="0" wp14:anchorId="55C7B590" wp14:editId="43E7C347">
            <wp:extent cx="3180522" cy="2120008"/>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231619" cy="2154067"/>
                    </a:xfrm>
                    <a:prstGeom prst="rect">
                      <a:avLst/>
                    </a:prstGeom>
                    <a:noFill/>
                    <a:ln>
                      <a:noFill/>
                    </a:ln>
                  </pic:spPr>
                </pic:pic>
              </a:graphicData>
            </a:graphic>
          </wp:inline>
        </w:drawing>
      </w:r>
    </w:p>
    <w:p w14:paraId="05E713E6" w14:textId="7FDBFBCE" w:rsidR="00A94C89" w:rsidRPr="000F5415" w:rsidRDefault="000F5415" w:rsidP="00A94C89">
      <w:pPr>
        <w:pStyle w:val="NoSpacing"/>
        <w:jc w:val="both"/>
        <w:rPr>
          <w:rFonts w:asciiTheme="majorHAnsi" w:hAnsiTheme="majorHAnsi" w:cstheme="majorHAnsi"/>
          <w:i/>
          <w:iCs/>
          <w:sz w:val="20"/>
          <w:szCs w:val="20"/>
        </w:rPr>
      </w:pPr>
      <w:r w:rsidRPr="000F5415">
        <w:rPr>
          <w:rFonts w:asciiTheme="majorHAnsi" w:hAnsiTheme="majorHAnsi" w:cstheme="majorHAnsi"/>
          <w:i/>
          <w:iCs/>
          <w:sz w:val="20"/>
          <w:szCs w:val="20"/>
        </w:rPr>
        <w:t>Cecília Chata Valentim with five of the seven children, in front of the new house under construction. Photo by UN/Brenda Hada</w:t>
      </w:r>
    </w:p>
    <w:p w14:paraId="3558093E" w14:textId="77777777" w:rsidR="000F5415" w:rsidRPr="00A94C89" w:rsidRDefault="000F5415" w:rsidP="00A94C89">
      <w:pPr>
        <w:pStyle w:val="NoSpacing"/>
        <w:jc w:val="both"/>
        <w:rPr>
          <w:rFonts w:asciiTheme="majorHAnsi" w:hAnsiTheme="majorHAnsi" w:cstheme="majorHAnsi"/>
          <w:sz w:val="20"/>
          <w:szCs w:val="20"/>
        </w:rPr>
      </w:pPr>
    </w:p>
    <w:p w14:paraId="6719EEAD" w14:textId="0CF31AE0" w:rsidR="00A94C89" w:rsidRDefault="00A94C89" w:rsidP="00A94C89">
      <w:pPr>
        <w:pStyle w:val="NoSpacing"/>
        <w:jc w:val="both"/>
        <w:rPr>
          <w:rFonts w:asciiTheme="majorHAnsi" w:hAnsiTheme="majorHAnsi" w:cstheme="majorHAnsi"/>
          <w:sz w:val="20"/>
          <w:szCs w:val="20"/>
        </w:rPr>
      </w:pPr>
      <w:r w:rsidRPr="00A94C89">
        <w:rPr>
          <w:rFonts w:asciiTheme="majorHAnsi" w:hAnsiTheme="majorHAnsi" w:cstheme="majorHAnsi"/>
          <w:sz w:val="20"/>
          <w:szCs w:val="20"/>
        </w:rPr>
        <w:t>Today, two years later, the family seeks to build a new life, with the support of organizations. The United Nations is building a house for the family and has promoted several income-generating activities for the head of the family, through the post-cyclone program Mozambique Recovery Facility (MRF), in coordination with Government’s Reconstruction Cabinet (GREPOC), with funds from the European Union, Canada, China, Finland, India, the Netherlands and Norway.</w:t>
      </w:r>
    </w:p>
    <w:p w14:paraId="655ABF51" w14:textId="77777777" w:rsidR="00A94C89" w:rsidRPr="00A94C89" w:rsidRDefault="00A94C89" w:rsidP="00A94C89">
      <w:pPr>
        <w:pStyle w:val="NoSpacing"/>
        <w:jc w:val="both"/>
        <w:rPr>
          <w:rFonts w:asciiTheme="majorHAnsi" w:hAnsiTheme="majorHAnsi" w:cstheme="majorHAnsi"/>
          <w:sz w:val="20"/>
          <w:szCs w:val="20"/>
        </w:rPr>
      </w:pPr>
    </w:p>
    <w:p w14:paraId="2879B8E6" w14:textId="0589F93E" w:rsidR="0063523D" w:rsidRDefault="00A94C89" w:rsidP="00A94C89">
      <w:pPr>
        <w:pStyle w:val="NoSpacing"/>
        <w:jc w:val="both"/>
        <w:rPr>
          <w:rFonts w:asciiTheme="majorHAnsi" w:hAnsiTheme="majorHAnsi" w:cstheme="majorHAnsi"/>
          <w:sz w:val="20"/>
          <w:szCs w:val="20"/>
        </w:rPr>
      </w:pPr>
      <w:r w:rsidRPr="00A94C89">
        <w:rPr>
          <w:rFonts w:asciiTheme="majorHAnsi" w:hAnsiTheme="majorHAnsi" w:cstheme="majorHAnsi"/>
          <w:sz w:val="20"/>
          <w:szCs w:val="20"/>
        </w:rPr>
        <w:t>For the first time Cecília and her children will live in cement house, sturdy to withstand climate challenges, and safe in the rainy season. From the backyard of the old house, she has been following the construction work of the new residence since its foundation. “I see the materials they use and there is a lot of difference. It will also be simpler to maintain hygiene, while in the mud house which has no windows the dust never ends.”</w:t>
      </w:r>
    </w:p>
    <w:p w14:paraId="192B5FE5" w14:textId="300A99A7" w:rsidR="009A2C65" w:rsidRDefault="009A2C65" w:rsidP="00A94C89">
      <w:pPr>
        <w:pStyle w:val="NoSpacing"/>
        <w:jc w:val="both"/>
        <w:rPr>
          <w:rFonts w:asciiTheme="majorHAnsi" w:hAnsiTheme="majorHAnsi" w:cstheme="majorHAnsi"/>
          <w:sz w:val="20"/>
          <w:szCs w:val="20"/>
        </w:rPr>
      </w:pPr>
    </w:p>
    <w:p w14:paraId="21B55DC2" w14:textId="45DA96E5" w:rsidR="009A2C65" w:rsidRDefault="009A2C65" w:rsidP="00A94C89">
      <w:pPr>
        <w:pStyle w:val="NoSpacing"/>
        <w:jc w:val="both"/>
        <w:rPr>
          <w:rFonts w:asciiTheme="majorHAnsi" w:hAnsiTheme="majorHAnsi" w:cstheme="majorHAnsi"/>
          <w:sz w:val="20"/>
          <w:szCs w:val="20"/>
        </w:rPr>
      </w:pPr>
      <w:r>
        <w:rPr>
          <w:noProof/>
        </w:rPr>
        <w:drawing>
          <wp:inline distT="0" distB="0" distL="0" distR="0" wp14:anchorId="6DDBAA9A" wp14:editId="50DD776A">
            <wp:extent cx="3265892" cy="217865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303918" cy="2204024"/>
                    </a:xfrm>
                    <a:prstGeom prst="rect">
                      <a:avLst/>
                    </a:prstGeom>
                    <a:noFill/>
                    <a:ln>
                      <a:noFill/>
                    </a:ln>
                  </pic:spPr>
                </pic:pic>
              </a:graphicData>
            </a:graphic>
          </wp:inline>
        </w:drawing>
      </w:r>
    </w:p>
    <w:p w14:paraId="150F9A76" w14:textId="5B06F742" w:rsidR="001A2DE6" w:rsidRPr="00103598" w:rsidRDefault="00103598" w:rsidP="008C0637">
      <w:pPr>
        <w:pStyle w:val="NoSpacing"/>
        <w:jc w:val="both"/>
        <w:rPr>
          <w:rFonts w:asciiTheme="majorHAnsi" w:hAnsiTheme="majorHAnsi" w:cstheme="majorHAnsi"/>
          <w:i/>
          <w:iCs/>
          <w:sz w:val="20"/>
          <w:szCs w:val="20"/>
        </w:rPr>
      </w:pPr>
      <w:r w:rsidRPr="00103598">
        <w:rPr>
          <w:rFonts w:asciiTheme="majorHAnsi" w:hAnsiTheme="majorHAnsi" w:cstheme="majorHAnsi"/>
          <w:i/>
          <w:iCs/>
          <w:sz w:val="20"/>
          <w:szCs w:val="20"/>
        </w:rPr>
        <w:t>Single-family resilient houses under construction with a roof-covered area of 34 m2 each. This is a 'evolutionary housing' model in which households can expand the structure or develop new functions for the rooms according to their needs. Photo by UN/Brenda Hada</w:t>
      </w:r>
    </w:p>
    <w:p w14:paraId="46B7FF1D" w14:textId="420FF5F2" w:rsidR="008C0637" w:rsidRDefault="008C0637" w:rsidP="008C0637">
      <w:pPr>
        <w:rPr>
          <w:rFonts w:asciiTheme="majorHAnsi" w:hAnsiTheme="majorHAnsi" w:cstheme="majorHAnsi"/>
          <w:sz w:val="20"/>
          <w:szCs w:val="20"/>
          <w:lang w:bidi="ar-SA"/>
        </w:rPr>
      </w:pPr>
    </w:p>
    <w:p w14:paraId="25BCBA14" w14:textId="77777777" w:rsidR="00F47F07" w:rsidRPr="00F47F07" w:rsidRDefault="00F47F07" w:rsidP="00F47F07">
      <w:pPr>
        <w:rPr>
          <w:rFonts w:asciiTheme="majorHAnsi" w:hAnsiTheme="majorHAnsi" w:cstheme="majorHAnsi"/>
          <w:sz w:val="20"/>
          <w:szCs w:val="20"/>
          <w:lang w:bidi="ar-SA"/>
        </w:rPr>
      </w:pPr>
      <w:r w:rsidRPr="00F47F07">
        <w:rPr>
          <w:rFonts w:asciiTheme="majorHAnsi" w:hAnsiTheme="majorHAnsi" w:cstheme="majorHAnsi"/>
          <w:sz w:val="20"/>
          <w:szCs w:val="20"/>
          <w:lang w:bidi="ar-SA"/>
        </w:rPr>
        <w:t xml:space="preserve">The construction of Cecília's house follows resilience standards to endure natural disasters, which are so recurrent in Mozambique. In total, 160 houses are under construction following the same rationale and project in Mandruzi neighborhood by the Mozambique Recovery Facility and are designated to vulnerable families, most headed by the elderly, single mothers, and people with disabilities or chronic diseases. </w:t>
      </w:r>
    </w:p>
    <w:p w14:paraId="543B5E24" w14:textId="28A7932A" w:rsidR="00F47F07" w:rsidRDefault="00F47F07" w:rsidP="00F47F07">
      <w:pPr>
        <w:rPr>
          <w:rFonts w:asciiTheme="majorHAnsi" w:hAnsiTheme="majorHAnsi" w:cstheme="majorHAnsi"/>
          <w:sz w:val="20"/>
          <w:szCs w:val="20"/>
          <w:lang w:bidi="ar-SA"/>
        </w:rPr>
      </w:pPr>
      <w:r w:rsidRPr="00F47F07">
        <w:rPr>
          <w:rFonts w:asciiTheme="majorHAnsi" w:hAnsiTheme="majorHAnsi" w:cstheme="majorHAnsi"/>
          <w:sz w:val="20"/>
          <w:szCs w:val="20"/>
          <w:lang w:bidi="ar-SA"/>
        </w:rPr>
        <w:t xml:space="preserve">Through the reinforced roof and window connections made by local bricklayers and artisans under the supervision of engineers and technicians, the construction gains the necessary durability while serving as a learning experience for the community to build better adapted houses. The participation of other community members in the construction includes unskilled temporary work arrangement, such as water collection and meal preparation, to ensure an additional source of income for the community and cohesion among neighbors. </w:t>
      </w:r>
    </w:p>
    <w:p w14:paraId="3FC56FED" w14:textId="77777777" w:rsidR="00F47F07" w:rsidRPr="00F47F07" w:rsidRDefault="00F47F07" w:rsidP="00F47F07">
      <w:pPr>
        <w:rPr>
          <w:rFonts w:asciiTheme="majorHAnsi" w:hAnsiTheme="majorHAnsi" w:cstheme="majorHAnsi"/>
          <w:sz w:val="20"/>
          <w:szCs w:val="20"/>
          <w:lang w:bidi="ar-SA"/>
        </w:rPr>
      </w:pPr>
    </w:p>
    <w:p w14:paraId="049772DC" w14:textId="77777777" w:rsidR="00F47F07" w:rsidRPr="00F47F07" w:rsidRDefault="00F47F07" w:rsidP="00F47F07">
      <w:pPr>
        <w:rPr>
          <w:rFonts w:asciiTheme="majorHAnsi" w:hAnsiTheme="majorHAnsi" w:cstheme="majorHAnsi"/>
          <w:b/>
          <w:bCs/>
          <w:sz w:val="20"/>
          <w:szCs w:val="20"/>
          <w:lang w:bidi="ar-SA"/>
        </w:rPr>
      </w:pPr>
      <w:r w:rsidRPr="00F47F07">
        <w:rPr>
          <w:rFonts w:asciiTheme="majorHAnsi" w:hAnsiTheme="majorHAnsi" w:cstheme="majorHAnsi"/>
          <w:b/>
          <w:bCs/>
          <w:sz w:val="20"/>
          <w:szCs w:val="20"/>
          <w:lang w:bidi="ar-SA"/>
        </w:rPr>
        <w:t>Resilience in the face of climate shocks</w:t>
      </w:r>
    </w:p>
    <w:p w14:paraId="411E04FD" w14:textId="77777777" w:rsidR="00F47F07" w:rsidRPr="00F47F07" w:rsidRDefault="00F47F07" w:rsidP="00F47F07">
      <w:pPr>
        <w:rPr>
          <w:rFonts w:asciiTheme="majorHAnsi" w:hAnsiTheme="majorHAnsi" w:cstheme="majorHAnsi"/>
          <w:sz w:val="20"/>
          <w:szCs w:val="20"/>
          <w:lang w:bidi="ar-SA"/>
        </w:rPr>
      </w:pPr>
      <w:r w:rsidRPr="00680932">
        <w:rPr>
          <w:rFonts w:asciiTheme="majorHAnsi" w:hAnsiTheme="majorHAnsi" w:cstheme="majorHAnsi"/>
          <w:i/>
          <w:iCs/>
          <w:sz w:val="20"/>
          <w:szCs w:val="20"/>
          <w:lang w:bidi="ar-SA"/>
        </w:rPr>
        <w:t>“These storms came to bother us, and you never know what might happen, but the community knows how to prepare and is building stronger houses. What happened in Idai cannot happen two, three times… It was very sad”,</w:t>
      </w:r>
      <w:r w:rsidRPr="00F47F07">
        <w:rPr>
          <w:rFonts w:asciiTheme="majorHAnsi" w:hAnsiTheme="majorHAnsi" w:cstheme="majorHAnsi"/>
          <w:sz w:val="20"/>
          <w:szCs w:val="20"/>
          <w:lang w:bidi="ar-SA"/>
        </w:rPr>
        <w:t xml:space="preserve"> she warns.</w:t>
      </w:r>
    </w:p>
    <w:p w14:paraId="37B2380D" w14:textId="3F7B6DB3" w:rsidR="00F47F07" w:rsidRDefault="00F47F07" w:rsidP="00F47F07">
      <w:pPr>
        <w:rPr>
          <w:rFonts w:asciiTheme="majorHAnsi" w:hAnsiTheme="majorHAnsi" w:cstheme="majorHAnsi"/>
          <w:sz w:val="20"/>
          <w:szCs w:val="20"/>
          <w:lang w:bidi="ar-SA"/>
        </w:rPr>
      </w:pPr>
      <w:r w:rsidRPr="00F47F07">
        <w:rPr>
          <w:rFonts w:asciiTheme="majorHAnsi" w:hAnsiTheme="majorHAnsi" w:cstheme="majorHAnsi"/>
          <w:sz w:val="20"/>
          <w:szCs w:val="20"/>
          <w:lang w:bidi="ar-SA"/>
        </w:rPr>
        <w:t xml:space="preserve">Cecília's testimony aligns with the facts. From 2019 to 2021, four cyclones hit Mozambique, which further challenged communities' resilience to climate crisis. In each natural disaster, Mozambique loses lives, more infrastructure is destroyed and essential </w:t>
      </w:r>
      <w:r w:rsidRPr="00F47F07">
        <w:rPr>
          <w:rFonts w:asciiTheme="majorHAnsi" w:hAnsiTheme="majorHAnsi" w:cstheme="majorHAnsi"/>
          <w:sz w:val="20"/>
          <w:szCs w:val="20"/>
          <w:lang w:bidi="ar-SA"/>
        </w:rPr>
        <w:lastRenderedPageBreak/>
        <w:t>services are disrupted. Disproportionately, it is estimated that, by 2100 the poorest countries in the world could experience up to 100 more days of extreme weather due to climate change each year–Mozambique is one of the ten countries in the world with the lowest human development (</w:t>
      </w:r>
      <w:hyperlink r:id="rId58" w:history="1">
        <w:r w:rsidRPr="005A4D95">
          <w:rPr>
            <w:rStyle w:val="Hyperlink"/>
            <w:rFonts w:asciiTheme="majorHAnsi" w:hAnsiTheme="majorHAnsi" w:cstheme="majorHAnsi"/>
            <w:sz w:val="20"/>
            <w:szCs w:val="20"/>
            <w:lang w:bidi="ar-SA"/>
          </w:rPr>
          <w:t>HDI 2020</w:t>
        </w:r>
      </w:hyperlink>
      <w:r w:rsidRPr="00F47F07">
        <w:rPr>
          <w:rFonts w:asciiTheme="majorHAnsi" w:hAnsiTheme="majorHAnsi" w:cstheme="majorHAnsi"/>
          <w:sz w:val="20"/>
          <w:szCs w:val="20"/>
          <w:lang w:bidi="ar-SA"/>
        </w:rPr>
        <w:t>).</w:t>
      </w:r>
    </w:p>
    <w:p w14:paraId="12E2891C" w14:textId="77777777" w:rsidR="00680932" w:rsidRPr="00F47F07" w:rsidRDefault="00680932" w:rsidP="00F47F07">
      <w:pPr>
        <w:rPr>
          <w:rFonts w:asciiTheme="majorHAnsi" w:hAnsiTheme="majorHAnsi" w:cstheme="majorHAnsi"/>
          <w:sz w:val="20"/>
          <w:szCs w:val="20"/>
          <w:lang w:bidi="ar-SA"/>
        </w:rPr>
      </w:pPr>
    </w:p>
    <w:p w14:paraId="4B1D11E7" w14:textId="77777777" w:rsidR="00F47F07" w:rsidRPr="00F47F07" w:rsidRDefault="00F47F07" w:rsidP="00F47F07">
      <w:pPr>
        <w:rPr>
          <w:rFonts w:asciiTheme="majorHAnsi" w:hAnsiTheme="majorHAnsi" w:cstheme="majorHAnsi"/>
          <w:sz w:val="20"/>
          <w:szCs w:val="20"/>
          <w:lang w:bidi="ar-SA"/>
        </w:rPr>
      </w:pPr>
      <w:r w:rsidRPr="00F47F07">
        <w:rPr>
          <w:rFonts w:asciiTheme="majorHAnsi" w:hAnsiTheme="majorHAnsi" w:cstheme="majorHAnsi"/>
          <w:sz w:val="20"/>
          <w:szCs w:val="20"/>
          <w:lang w:bidi="ar-SA"/>
        </w:rPr>
        <w:t>To help build resilience for vulnerable communities in Sofala province, more than 1,100 homes and 18 infrastructures, including schools and markets, are being built and/or rehabilitated by the Recovery Facility, following resilient construction standards (Building Back Better) for the reestablishment of services and the assurance of durable infrastructure, which may serve as shelter for communities in possible future disasters. At least 15,000 people will directly benefit from this initiative.</w:t>
      </w:r>
    </w:p>
    <w:p w14:paraId="795B1D40" w14:textId="0520DCA9" w:rsidR="00F47F07" w:rsidRDefault="00F47F07" w:rsidP="00F47F07">
      <w:pPr>
        <w:rPr>
          <w:rFonts w:asciiTheme="majorHAnsi" w:hAnsiTheme="majorHAnsi" w:cstheme="majorHAnsi"/>
          <w:sz w:val="20"/>
          <w:szCs w:val="20"/>
          <w:lang w:bidi="ar-SA"/>
        </w:rPr>
      </w:pPr>
      <w:r w:rsidRPr="00F47F07">
        <w:rPr>
          <w:rFonts w:asciiTheme="majorHAnsi" w:hAnsiTheme="majorHAnsi" w:cstheme="majorHAnsi"/>
          <w:sz w:val="20"/>
          <w:szCs w:val="20"/>
          <w:lang w:bidi="ar-SA"/>
        </w:rPr>
        <w:t>In addition, to help reduce disaster risk and encourage action within the affected communities, several access roads (960 km) and drainage ditches (8.5 km3) have been cleared through temporary work with cash-transfer (cash-for-work).</w:t>
      </w:r>
    </w:p>
    <w:p w14:paraId="58BDE77B" w14:textId="77777777" w:rsidR="00CC203A" w:rsidRDefault="00CC203A" w:rsidP="00F47F07">
      <w:pPr>
        <w:rPr>
          <w:rFonts w:asciiTheme="majorHAnsi" w:hAnsiTheme="majorHAnsi" w:cstheme="majorHAnsi"/>
          <w:sz w:val="20"/>
          <w:szCs w:val="20"/>
          <w:lang w:bidi="ar-SA"/>
        </w:rPr>
      </w:pPr>
    </w:p>
    <w:p w14:paraId="16481643" w14:textId="77777777" w:rsidR="0066164B" w:rsidRPr="0066164B" w:rsidRDefault="0066164B" w:rsidP="0066164B">
      <w:pPr>
        <w:jc w:val="both"/>
        <w:rPr>
          <w:rFonts w:asciiTheme="majorHAnsi" w:hAnsiTheme="majorHAnsi" w:cstheme="majorHAnsi"/>
          <w:b/>
          <w:bCs/>
          <w:sz w:val="20"/>
          <w:szCs w:val="20"/>
          <w:lang w:bidi="ar-SA"/>
        </w:rPr>
      </w:pPr>
      <w:r w:rsidRPr="0066164B">
        <w:rPr>
          <w:rFonts w:asciiTheme="majorHAnsi" w:hAnsiTheme="majorHAnsi" w:cstheme="majorHAnsi"/>
          <w:b/>
          <w:bCs/>
          <w:sz w:val="20"/>
          <w:szCs w:val="20"/>
          <w:lang w:bidi="ar-SA"/>
        </w:rPr>
        <w:t>Livelihoods to create resilience in future disasters</w:t>
      </w:r>
    </w:p>
    <w:p w14:paraId="4DD1EE22" w14:textId="77777777" w:rsidR="004546E9" w:rsidRPr="004B60D5" w:rsidRDefault="004546E9" w:rsidP="004546E9">
      <w:pPr>
        <w:jc w:val="both"/>
        <w:rPr>
          <w:rFonts w:asciiTheme="majorHAnsi" w:hAnsiTheme="majorHAnsi" w:cstheme="majorHAnsi"/>
          <w:sz w:val="20"/>
          <w:szCs w:val="20"/>
          <w:lang w:bidi="ar-SA"/>
        </w:rPr>
      </w:pPr>
      <w:r w:rsidRPr="004B60D5">
        <w:rPr>
          <w:rFonts w:asciiTheme="majorHAnsi" w:hAnsiTheme="majorHAnsi" w:cstheme="majorHAnsi"/>
          <w:sz w:val="20"/>
          <w:szCs w:val="20"/>
          <w:lang w:bidi="ar-SA"/>
        </w:rPr>
        <w:t>Despite the trauma she experienced with the cyclones, Cecília remains moved by the responsibility of taking care of her children and, designed a work routine in which she manages to “save money so that the children live more comfortable”. “I am both the mother and father to them. I have to work so they don't feel bad because they are missing something,” Cecília explains.</w:t>
      </w:r>
    </w:p>
    <w:p w14:paraId="09A96ADB" w14:textId="77777777" w:rsidR="004546E9" w:rsidRPr="004B60D5" w:rsidRDefault="004546E9" w:rsidP="004546E9">
      <w:pPr>
        <w:jc w:val="both"/>
        <w:rPr>
          <w:rFonts w:asciiTheme="majorHAnsi" w:hAnsiTheme="majorHAnsi" w:cstheme="majorHAnsi"/>
          <w:sz w:val="20"/>
          <w:szCs w:val="20"/>
          <w:lang w:bidi="ar-SA"/>
        </w:rPr>
      </w:pPr>
      <w:r w:rsidRPr="004B60D5">
        <w:rPr>
          <w:rFonts w:asciiTheme="majorHAnsi" w:hAnsiTheme="majorHAnsi" w:cstheme="majorHAnsi"/>
          <w:sz w:val="20"/>
          <w:szCs w:val="20"/>
          <w:lang w:bidi="ar-SA"/>
        </w:rPr>
        <w:t xml:space="preserve">The resumption of her income accelerated from July 2020, when the young mother started to participate in the Mozambique Recovery Facility’s cycle of activities with focus on women economic empowerment and livelihood recovery. She received an agricultural kit of seeds and tools and a duck rearing kit, participated in </w:t>
      </w:r>
      <w:r w:rsidRPr="004B60D5">
        <w:rPr>
          <w:rFonts w:asciiTheme="majorHAnsi" w:hAnsiTheme="majorHAnsi" w:cstheme="majorHAnsi"/>
          <w:sz w:val="20"/>
          <w:szCs w:val="20"/>
          <w:lang w:bidi="ar-SA"/>
        </w:rPr>
        <w:t>village savings and loan associations and engaged in cleaning drainage ditches in the neighborhood and in building the community’s waste management and treatment center.</w:t>
      </w:r>
    </w:p>
    <w:p w14:paraId="4374FCEB" w14:textId="77777777" w:rsidR="004546E9" w:rsidRDefault="004546E9" w:rsidP="004546E9">
      <w:pPr>
        <w:jc w:val="both"/>
        <w:rPr>
          <w:b/>
          <w:bCs/>
          <w:i/>
          <w:iCs/>
          <w:sz w:val="20"/>
          <w:szCs w:val="20"/>
        </w:rPr>
      </w:pPr>
      <w:r>
        <w:rPr>
          <w:noProof/>
        </w:rPr>
        <w:drawing>
          <wp:inline distT="0" distB="0" distL="0" distR="0" wp14:anchorId="019E7FA0" wp14:editId="4CE9D07D">
            <wp:extent cx="2707801" cy="120549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08606" cy="1250370"/>
                    </a:xfrm>
                    <a:prstGeom prst="rect">
                      <a:avLst/>
                    </a:prstGeom>
                    <a:noFill/>
                    <a:ln>
                      <a:noFill/>
                    </a:ln>
                  </pic:spPr>
                </pic:pic>
              </a:graphicData>
            </a:graphic>
          </wp:inline>
        </w:drawing>
      </w:r>
    </w:p>
    <w:p w14:paraId="7A17A766" w14:textId="68F07705" w:rsidR="004546E9" w:rsidRPr="005A2902" w:rsidRDefault="004546E9" w:rsidP="004546E9">
      <w:pPr>
        <w:jc w:val="both"/>
        <w:rPr>
          <w:i/>
          <w:iCs/>
          <w:sz w:val="20"/>
          <w:szCs w:val="20"/>
        </w:rPr>
      </w:pPr>
      <w:r w:rsidRPr="005A2902">
        <w:rPr>
          <w:i/>
          <w:iCs/>
          <w:sz w:val="20"/>
          <w:szCs w:val="20"/>
        </w:rPr>
        <w:t>Cecília during her routine of working in the community and taking care of her children. Photo by UN / Brenda Hada</w:t>
      </w:r>
    </w:p>
    <w:p w14:paraId="787DE0B3" w14:textId="77777777" w:rsidR="004546E9" w:rsidRPr="004B60D5" w:rsidRDefault="004546E9" w:rsidP="004546E9">
      <w:pPr>
        <w:jc w:val="both"/>
        <w:rPr>
          <w:rFonts w:asciiTheme="majorHAnsi" w:hAnsiTheme="majorHAnsi" w:cstheme="majorHAnsi"/>
          <w:sz w:val="20"/>
          <w:szCs w:val="20"/>
          <w:lang w:bidi="ar-SA"/>
        </w:rPr>
      </w:pPr>
      <w:r w:rsidRPr="004B60D5">
        <w:rPr>
          <w:rFonts w:asciiTheme="majorHAnsi" w:hAnsiTheme="majorHAnsi" w:cstheme="majorHAnsi"/>
          <w:sz w:val="20"/>
          <w:szCs w:val="20"/>
          <w:lang w:bidi="ar-SA"/>
        </w:rPr>
        <w:t>The young woman also received training on the production of organic fertilizers (biological charcoal and composting), on entrepreneurship and tailoring. Such activities promoted by the MRF program, in addition to reduce poverty, help reduce disaster risk and encourage sustainable actions adapted to the reality of women, so that they become multiplier leaders of these initiatives in the community in view of climate change.</w:t>
      </w:r>
    </w:p>
    <w:p w14:paraId="10221B8E" w14:textId="77777777" w:rsidR="004546E9" w:rsidRPr="004B60D5" w:rsidRDefault="004546E9" w:rsidP="004546E9">
      <w:pPr>
        <w:jc w:val="both"/>
        <w:rPr>
          <w:rFonts w:asciiTheme="majorHAnsi" w:hAnsiTheme="majorHAnsi" w:cstheme="majorHAnsi"/>
          <w:sz w:val="20"/>
          <w:szCs w:val="20"/>
          <w:lang w:bidi="ar-SA"/>
        </w:rPr>
      </w:pPr>
      <w:r w:rsidRPr="004B60D5">
        <w:rPr>
          <w:rFonts w:asciiTheme="majorHAnsi" w:hAnsiTheme="majorHAnsi" w:cstheme="majorHAnsi"/>
          <w:sz w:val="20"/>
          <w:szCs w:val="20"/>
          <w:lang w:bidi="ar-SA"/>
        </w:rPr>
        <w:t xml:space="preserve">Cecília's participation in economic empowerment activities has energized her life; she takes advantage of the tools and knowledge acquired to sustain her family and help her community. She planted rice, corn and sweet potato in her garden, flowers and other vegetables in the community crops using the fertilizer produced, and her ducks hatched two nests. Amid this routine, she was able to finish her studies in basic education, in the same school that sheltered her during Cyclone Idai, another milestone from her tireless effort. </w:t>
      </w:r>
    </w:p>
    <w:p w14:paraId="0787D90D" w14:textId="77777777" w:rsidR="004546E9" w:rsidRPr="004B60D5" w:rsidRDefault="004546E9" w:rsidP="004546E9">
      <w:pPr>
        <w:jc w:val="both"/>
        <w:rPr>
          <w:rFonts w:asciiTheme="majorHAnsi" w:hAnsiTheme="majorHAnsi" w:cstheme="majorHAnsi"/>
          <w:sz w:val="20"/>
          <w:szCs w:val="20"/>
          <w:lang w:bidi="ar-SA"/>
        </w:rPr>
      </w:pPr>
      <w:r w:rsidRPr="004B60D5">
        <w:rPr>
          <w:rFonts w:asciiTheme="majorHAnsi" w:hAnsiTheme="majorHAnsi" w:cstheme="majorHAnsi"/>
          <w:sz w:val="20"/>
          <w:szCs w:val="20"/>
          <w:lang w:bidi="ar-SA"/>
        </w:rPr>
        <w:t xml:space="preserve">Aware of the importance of her community, Cecília concluded by saying: “I would like to mobilize and sensitize other people, neighbors, so that they do not lose hope. Everything is a process. </w:t>
      </w:r>
      <w:bookmarkStart w:id="23" w:name="_Hlk67053897"/>
      <w:r w:rsidRPr="004B60D5">
        <w:rPr>
          <w:rFonts w:asciiTheme="majorHAnsi" w:hAnsiTheme="majorHAnsi" w:cstheme="majorHAnsi"/>
          <w:sz w:val="20"/>
          <w:szCs w:val="20"/>
          <w:lang w:bidi="ar-SA"/>
        </w:rPr>
        <w:t>Where there is life, there is hope”</w:t>
      </w:r>
      <w:bookmarkEnd w:id="23"/>
      <w:r w:rsidRPr="004B60D5">
        <w:rPr>
          <w:rFonts w:asciiTheme="majorHAnsi" w:hAnsiTheme="majorHAnsi" w:cstheme="majorHAnsi"/>
          <w:sz w:val="20"/>
          <w:szCs w:val="20"/>
          <w:lang w:bidi="ar-SA"/>
        </w:rPr>
        <w:t>.</w:t>
      </w:r>
    </w:p>
    <w:p w14:paraId="1F7C2F8B" w14:textId="77777777" w:rsidR="00140A95" w:rsidRDefault="00140A95" w:rsidP="008C0637">
      <w:pPr>
        <w:rPr>
          <w:rFonts w:asciiTheme="majorHAnsi" w:hAnsiTheme="majorHAnsi" w:cstheme="majorHAnsi"/>
          <w:sz w:val="20"/>
          <w:szCs w:val="20"/>
          <w:lang w:bidi="ar-SA"/>
        </w:rPr>
        <w:sectPr w:rsidR="00140A95" w:rsidSect="00140A95">
          <w:type w:val="continuous"/>
          <w:pgSz w:w="12240" w:h="15840"/>
          <w:pgMar w:top="1440" w:right="1440" w:bottom="1440" w:left="1440" w:header="720" w:footer="720" w:gutter="0"/>
          <w:pgNumType w:start="0"/>
          <w:cols w:num="2" w:space="720"/>
          <w:titlePg/>
          <w:docGrid w:linePitch="360"/>
        </w:sectPr>
      </w:pPr>
    </w:p>
    <w:p w14:paraId="3BB6B46A" w14:textId="14C688D6" w:rsidR="00103598" w:rsidRDefault="00103598" w:rsidP="008C0637">
      <w:pPr>
        <w:rPr>
          <w:rFonts w:asciiTheme="majorHAnsi" w:hAnsiTheme="majorHAnsi" w:cstheme="majorHAnsi"/>
          <w:sz w:val="20"/>
          <w:szCs w:val="20"/>
          <w:lang w:bidi="ar-SA"/>
        </w:rPr>
      </w:pPr>
    </w:p>
    <w:p w14:paraId="61C075D0" w14:textId="77777777" w:rsidR="008440CB" w:rsidRPr="00F22F32" w:rsidRDefault="008440CB" w:rsidP="008C0637">
      <w:pPr>
        <w:rPr>
          <w:rFonts w:asciiTheme="majorHAnsi" w:hAnsiTheme="majorHAnsi" w:cstheme="majorHAnsi"/>
          <w:sz w:val="20"/>
          <w:szCs w:val="20"/>
          <w:lang w:bidi="ar-SA"/>
        </w:rPr>
      </w:pPr>
    </w:p>
    <w:p w14:paraId="11E00FCF" w14:textId="77777777" w:rsidR="00EF5941" w:rsidRDefault="00EF5941" w:rsidP="0068146C">
      <w:pPr>
        <w:rPr>
          <w:rFonts w:asciiTheme="majorHAnsi" w:hAnsiTheme="majorHAnsi" w:cstheme="majorHAnsi"/>
          <w:b/>
          <w:bCs/>
          <w:sz w:val="20"/>
          <w:szCs w:val="20"/>
        </w:rPr>
        <w:sectPr w:rsidR="00EF5941" w:rsidSect="005B27FF">
          <w:type w:val="continuous"/>
          <w:pgSz w:w="12240" w:h="15840"/>
          <w:pgMar w:top="1440" w:right="1440" w:bottom="1440" w:left="1440" w:header="720" w:footer="720" w:gutter="0"/>
          <w:pgNumType w:start="0"/>
          <w:cols w:space="720"/>
          <w:titlePg/>
          <w:docGrid w:linePitch="360"/>
        </w:sectPr>
      </w:pPr>
    </w:p>
    <w:p w14:paraId="66A7A347" w14:textId="4BD6FE21" w:rsidR="0068146C" w:rsidRDefault="0068146C" w:rsidP="0068146C">
      <w:pPr>
        <w:rPr>
          <w:rFonts w:asciiTheme="majorHAnsi" w:eastAsiaTheme="minorHAnsi" w:hAnsiTheme="majorHAnsi" w:cstheme="majorHAnsi"/>
          <w:b/>
          <w:bCs/>
          <w:sz w:val="20"/>
          <w:szCs w:val="20"/>
          <w:lang w:bidi="ar-SA"/>
        </w:rPr>
      </w:pPr>
      <w:r>
        <w:rPr>
          <w:rFonts w:asciiTheme="majorHAnsi" w:hAnsiTheme="majorHAnsi" w:cstheme="majorHAnsi"/>
          <w:b/>
          <w:bCs/>
          <w:sz w:val="20"/>
          <w:szCs w:val="20"/>
        </w:rPr>
        <w:t>Key Constraints</w:t>
      </w:r>
    </w:p>
    <w:p w14:paraId="61A9975A" w14:textId="77777777" w:rsidR="0068146C" w:rsidRDefault="0068146C" w:rsidP="0068146C">
      <w:pPr>
        <w:jc w:val="both"/>
        <w:rPr>
          <w:rFonts w:asciiTheme="majorHAnsi" w:hAnsiTheme="majorHAnsi" w:cstheme="majorHAnsi"/>
          <w:sz w:val="20"/>
          <w:szCs w:val="20"/>
        </w:rPr>
      </w:pPr>
      <w:r>
        <w:rPr>
          <w:rFonts w:asciiTheme="majorHAnsi" w:hAnsiTheme="majorHAnsi" w:cstheme="majorHAnsi"/>
          <w:sz w:val="20"/>
          <w:szCs w:val="20"/>
        </w:rPr>
        <w:t xml:space="preserve">During 2020, the most significant constraint to the implementation of planned activities is COVID-19, identified as a key constraint in all Outcomes. It resulted in changes (and in many instances a slow-down) in the implementation of programmes, reallocation of regular budgets, increased implementation costs, adaption of implementation mechanisms to reduce in-person events, expansion of the timeframes required to implement activities and pressure on the human and financial resources required. With regards to education, COVID-19 </w:t>
      </w:r>
      <w:r>
        <w:rPr>
          <w:rFonts w:asciiTheme="majorHAnsi" w:hAnsiTheme="majorHAnsi" w:cstheme="majorHAnsi"/>
          <w:sz w:val="20"/>
          <w:szCs w:val="20"/>
        </w:rPr>
        <w:t xml:space="preserve">resulted constraints such as learning losses among students from vulnerable families and a lack of access to media channels for remote learning for most students (Outcome 3). </w:t>
      </w:r>
    </w:p>
    <w:p w14:paraId="6946F8DC" w14:textId="77777777" w:rsidR="0068146C" w:rsidRDefault="0068146C" w:rsidP="0068146C">
      <w:pPr>
        <w:jc w:val="both"/>
        <w:rPr>
          <w:rFonts w:asciiTheme="majorHAnsi" w:hAnsiTheme="majorHAnsi" w:cstheme="majorHAnsi"/>
          <w:sz w:val="20"/>
          <w:szCs w:val="20"/>
        </w:rPr>
      </w:pPr>
    </w:p>
    <w:p w14:paraId="482FC378" w14:textId="42203967" w:rsidR="0068146C" w:rsidRDefault="0068146C" w:rsidP="0068146C">
      <w:pPr>
        <w:jc w:val="both"/>
        <w:rPr>
          <w:rFonts w:asciiTheme="majorHAnsi" w:hAnsiTheme="majorHAnsi" w:cstheme="majorHAnsi"/>
          <w:sz w:val="20"/>
          <w:szCs w:val="20"/>
        </w:rPr>
      </w:pPr>
      <w:r>
        <w:rPr>
          <w:rFonts w:asciiTheme="majorHAnsi" w:hAnsiTheme="majorHAnsi" w:cstheme="majorHAnsi"/>
          <w:sz w:val="20"/>
          <w:szCs w:val="20"/>
        </w:rPr>
        <w:t xml:space="preserve">In relation to health, the impact of COVID-19 on the health services is significant, resulting in already-limited resources and compromising the availability and quality of services and the workforce (Outcome 6).  COVID-19 restrictions negatively impacted on a timely and wider capacity building initiatives (Outcome 7). Furthermore, COVID-19 restrictions </w:t>
      </w:r>
      <w:r>
        <w:rPr>
          <w:rFonts w:asciiTheme="majorHAnsi" w:hAnsiTheme="majorHAnsi" w:cstheme="majorHAnsi"/>
          <w:sz w:val="20"/>
          <w:szCs w:val="20"/>
        </w:rPr>
        <w:lastRenderedPageBreak/>
        <w:t xml:space="preserve">caused significant challenges to women entrepreneurs to carry out their business and school closure represented and extra burden and increase in household demands (Outcome 10). </w:t>
      </w:r>
    </w:p>
    <w:p w14:paraId="28DA17C0" w14:textId="77777777" w:rsidR="0068146C" w:rsidRDefault="0068146C" w:rsidP="0068146C">
      <w:pPr>
        <w:jc w:val="both"/>
        <w:rPr>
          <w:rFonts w:asciiTheme="majorHAnsi" w:hAnsiTheme="majorHAnsi" w:cstheme="majorHAnsi"/>
          <w:sz w:val="20"/>
          <w:szCs w:val="20"/>
        </w:rPr>
      </w:pPr>
    </w:p>
    <w:p w14:paraId="6B6AB9EB" w14:textId="62C604F5" w:rsidR="0068146C" w:rsidRDefault="0068146C" w:rsidP="0068146C">
      <w:pPr>
        <w:jc w:val="both"/>
        <w:rPr>
          <w:rFonts w:asciiTheme="majorHAnsi" w:hAnsiTheme="majorHAnsi" w:cstheme="majorHAnsi"/>
          <w:sz w:val="20"/>
          <w:szCs w:val="20"/>
        </w:rPr>
      </w:pPr>
      <w:r>
        <w:rPr>
          <w:rFonts w:asciiTheme="majorHAnsi" w:hAnsiTheme="majorHAnsi" w:cstheme="majorHAnsi"/>
          <w:sz w:val="20"/>
          <w:szCs w:val="20"/>
        </w:rPr>
        <w:t xml:space="preserve">The crisis in Cabo Delgado has also been a significant challenge to the implementation of activities across many Outcomes. Key constraints include decreased physical access in some areas, a lack of access to education for displaced children, concomitant outbreaks of COVID-19, measles, cholera, limited access to sexual and reproductive health services, increased poverty, inequality and resulted in deficient access to basic services and increased risk of sexual and gender based violence affecting youth, girls and women, particularly in the context of military conflicts. </w:t>
      </w:r>
    </w:p>
    <w:p w14:paraId="5F99DE03" w14:textId="77777777" w:rsidR="0068146C" w:rsidRDefault="0068146C" w:rsidP="0068146C">
      <w:pPr>
        <w:jc w:val="both"/>
        <w:rPr>
          <w:rFonts w:asciiTheme="majorHAnsi" w:hAnsiTheme="majorHAnsi" w:cstheme="majorHAnsi"/>
          <w:sz w:val="20"/>
          <w:szCs w:val="20"/>
        </w:rPr>
      </w:pPr>
    </w:p>
    <w:p w14:paraId="786B58B7" w14:textId="42EF0D22" w:rsidR="0068146C" w:rsidRDefault="0068146C" w:rsidP="0068146C">
      <w:pPr>
        <w:jc w:val="both"/>
        <w:rPr>
          <w:rFonts w:asciiTheme="majorHAnsi" w:hAnsiTheme="majorHAnsi" w:cstheme="majorHAnsi"/>
          <w:sz w:val="20"/>
          <w:szCs w:val="20"/>
        </w:rPr>
      </w:pPr>
      <w:r>
        <w:rPr>
          <w:rFonts w:asciiTheme="majorHAnsi" w:hAnsiTheme="majorHAnsi" w:cstheme="majorHAnsi"/>
          <w:sz w:val="20"/>
          <w:szCs w:val="20"/>
        </w:rPr>
        <w:t xml:space="preserve">Furthermore, across five Outcomes issues related to working with institutional partners are noted as key constraints, including changes to government structures after the 2019 elections (Outcome 1), changes in government mandates and consequent reengineering of institutional set-up (Outcome 2), the decentralisation process and new Government structures (Outcome 4, 8), coordination mechanisms at local level (Outcome 10). </w:t>
      </w:r>
    </w:p>
    <w:p w14:paraId="67D79FF3" w14:textId="77777777" w:rsidR="0068146C" w:rsidRDefault="0068146C" w:rsidP="0068146C">
      <w:pPr>
        <w:jc w:val="both"/>
        <w:rPr>
          <w:rFonts w:asciiTheme="majorHAnsi" w:hAnsiTheme="majorHAnsi" w:cstheme="majorHAnsi"/>
          <w:sz w:val="20"/>
          <w:szCs w:val="20"/>
        </w:rPr>
      </w:pPr>
    </w:p>
    <w:p w14:paraId="4937577F" w14:textId="4E693A81" w:rsidR="0068146C" w:rsidRDefault="0068146C" w:rsidP="0068146C">
      <w:pPr>
        <w:jc w:val="both"/>
        <w:rPr>
          <w:rFonts w:asciiTheme="majorHAnsi" w:hAnsiTheme="majorHAnsi" w:cstheme="majorHAnsi"/>
          <w:sz w:val="20"/>
          <w:szCs w:val="20"/>
        </w:rPr>
      </w:pPr>
      <w:r>
        <w:rPr>
          <w:rFonts w:asciiTheme="majorHAnsi" w:hAnsiTheme="majorHAnsi" w:cstheme="majorHAnsi"/>
          <w:sz w:val="20"/>
          <w:szCs w:val="20"/>
        </w:rPr>
        <w:t xml:space="preserve">Across Outcomes, constraints surrounding policy, data and research are evident. These include issues of reliable data for evidenced-based policymaking and planning (Outcome 2), misalignment of policy making with fast-paced urbanisation and socioeconomic changes (Outcome 2), the necessity of robust monitoring and evaluation systems, in particular to monitor UPR recommendations (Outcome 7), limited political leadership and coordination buy-in due to limited understanding of the social and development impact of demographic trends (Outcome 7) the postponement of studies planned for 2020 (Outcome 9 &amp; 10). Resource mobilisation is also a key constraint in two Outcome groups (Outcome 6 &amp; 8). </w:t>
      </w:r>
    </w:p>
    <w:p w14:paraId="35F63F81" w14:textId="77777777" w:rsidR="0068146C" w:rsidRDefault="0068146C" w:rsidP="0068146C">
      <w:pPr>
        <w:jc w:val="both"/>
        <w:rPr>
          <w:rFonts w:asciiTheme="majorHAnsi" w:hAnsiTheme="majorHAnsi" w:cstheme="majorHAnsi"/>
          <w:sz w:val="20"/>
          <w:szCs w:val="20"/>
        </w:rPr>
      </w:pPr>
    </w:p>
    <w:p w14:paraId="3198B473" w14:textId="6B247614" w:rsidR="0068146C" w:rsidRPr="00F22F32" w:rsidRDefault="0068146C" w:rsidP="0068146C">
      <w:pPr>
        <w:jc w:val="both"/>
        <w:rPr>
          <w:rFonts w:asciiTheme="majorHAnsi" w:hAnsiTheme="majorHAnsi" w:cstheme="majorHAnsi"/>
          <w:b/>
          <w:bCs/>
          <w:sz w:val="20"/>
          <w:szCs w:val="20"/>
        </w:rPr>
      </w:pPr>
      <w:r>
        <w:rPr>
          <w:rFonts w:asciiTheme="majorHAnsi" w:hAnsiTheme="majorHAnsi" w:cstheme="majorHAnsi"/>
          <w:sz w:val="20"/>
          <w:szCs w:val="20"/>
        </w:rPr>
        <w:t xml:space="preserve">There were also some key constraints specific to outcome groups including poor infrastructure and equipped rooms to attend to GBV victims, insufficient mental health professionals and a lack of appropriate GBV monitoring registers (Outcome 4). Similarly, issues around infrastructure are also evidenced in relation to resilient housing and public infrastructure resilient recovery need to be scale up (Outcome 10). Issues in the operationalisation of social protection in the Multi-sector response plan to COVID-19 including the expansion of the programmes to include more </w:t>
      </w:r>
      <w:r>
        <w:rPr>
          <w:rFonts w:asciiTheme="majorHAnsi" w:hAnsiTheme="majorHAnsi" w:cstheme="majorHAnsi"/>
          <w:sz w:val="20"/>
          <w:szCs w:val="20"/>
        </w:rPr>
        <w:t>beneficiaries, correct implementation of the programme in parallel with the emergency programme, compliance of identification and verification of PASD-PE beneficiaries with eligibility criteria and issues surrounding payment mechanisms are also identified (Outcome 6)</w:t>
      </w:r>
    </w:p>
    <w:p w14:paraId="209C3577" w14:textId="3476802A" w:rsidR="008C0637" w:rsidRPr="00F22F32" w:rsidRDefault="008C0637" w:rsidP="00F06DB7">
      <w:pPr>
        <w:jc w:val="both"/>
        <w:rPr>
          <w:rFonts w:asciiTheme="majorHAnsi" w:hAnsiTheme="majorHAnsi" w:cstheme="majorHAnsi"/>
          <w:b/>
          <w:bCs/>
          <w:sz w:val="20"/>
          <w:szCs w:val="20"/>
        </w:rPr>
      </w:pPr>
    </w:p>
    <w:p w14:paraId="411F9836" w14:textId="5D1C1A49" w:rsidR="008C0637" w:rsidRPr="00F22F32" w:rsidRDefault="008C0637" w:rsidP="00F06DB7">
      <w:pPr>
        <w:jc w:val="both"/>
        <w:rPr>
          <w:rFonts w:asciiTheme="majorHAnsi" w:hAnsiTheme="majorHAnsi" w:cstheme="majorHAnsi"/>
          <w:b/>
          <w:bCs/>
          <w:sz w:val="20"/>
          <w:szCs w:val="20"/>
        </w:rPr>
      </w:pPr>
    </w:p>
    <w:p w14:paraId="1D311757" w14:textId="23D32845" w:rsidR="00BA0A4E" w:rsidRPr="00F22F32" w:rsidRDefault="00663EA9" w:rsidP="00663EA9">
      <w:pPr>
        <w:pStyle w:val="Heading3"/>
        <w:rPr>
          <w:rFonts w:cstheme="majorHAnsi"/>
          <w:i/>
          <w:iCs/>
          <w:color w:val="auto"/>
        </w:rPr>
      </w:pPr>
      <w:bookmarkStart w:id="24" w:name="_Toc71207079"/>
      <w:r w:rsidRPr="00F22F32">
        <w:rPr>
          <w:rFonts w:cstheme="majorHAnsi"/>
          <w:i/>
          <w:iCs/>
          <w:color w:val="auto"/>
        </w:rPr>
        <w:t>2.3 S</w:t>
      </w:r>
      <w:r w:rsidR="00BA0A4E" w:rsidRPr="00F22F32">
        <w:rPr>
          <w:rFonts w:cstheme="majorHAnsi"/>
          <w:i/>
          <w:iCs/>
          <w:color w:val="auto"/>
        </w:rPr>
        <w:t>upport to Partnerships and Financing the 2030 Agenda</w:t>
      </w:r>
      <w:bookmarkEnd w:id="24"/>
    </w:p>
    <w:p w14:paraId="7AD1EEE7" w14:textId="62C6FBC4" w:rsidR="00106793" w:rsidRPr="00F22F32" w:rsidRDefault="00106793" w:rsidP="00106793"/>
    <w:p w14:paraId="06B5851E" w14:textId="06F33B60" w:rsidR="00106793" w:rsidRPr="00F22F32" w:rsidRDefault="00106793" w:rsidP="00106793">
      <w:pPr>
        <w:rPr>
          <w:rFonts w:asciiTheme="majorHAnsi" w:hAnsiTheme="majorHAnsi" w:cstheme="majorHAnsi"/>
          <w:b/>
          <w:bCs/>
          <w:sz w:val="20"/>
          <w:szCs w:val="20"/>
        </w:rPr>
      </w:pPr>
      <w:r w:rsidRPr="00F22F32">
        <w:rPr>
          <w:rFonts w:asciiTheme="majorHAnsi" w:hAnsiTheme="majorHAnsi" w:cstheme="majorHAnsi"/>
          <w:b/>
          <w:bCs/>
          <w:sz w:val="20"/>
          <w:szCs w:val="20"/>
        </w:rPr>
        <w:t>Example of innovative partnerships in advancing efforts to achieve 2030 Agenda/SDGs</w:t>
      </w:r>
    </w:p>
    <w:p w14:paraId="3C39777D" w14:textId="77777777" w:rsidR="00106793" w:rsidRPr="00F22F32" w:rsidRDefault="00106793" w:rsidP="00106793">
      <w:pPr>
        <w:rPr>
          <w:rFonts w:asciiTheme="majorHAnsi" w:hAnsiTheme="majorHAnsi" w:cstheme="majorHAnsi"/>
          <w:sz w:val="20"/>
          <w:szCs w:val="20"/>
        </w:rPr>
      </w:pPr>
    </w:p>
    <w:p w14:paraId="0F5BB3F3" w14:textId="48D9A93F" w:rsidR="21C425A0" w:rsidRPr="00F22F32" w:rsidRDefault="21C425A0" w:rsidP="000D1B83">
      <w:pPr>
        <w:spacing w:line="257" w:lineRule="auto"/>
        <w:jc w:val="both"/>
        <w:rPr>
          <w:rFonts w:ascii="Calibri Light" w:eastAsia="Calibri Light" w:hAnsi="Calibri Light" w:cs="Calibri Light"/>
          <w:sz w:val="20"/>
          <w:szCs w:val="20"/>
        </w:rPr>
      </w:pPr>
      <w:r w:rsidRPr="00F22F32">
        <w:rPr>
          <w:rFonts w:ascii="Calibri Light" w:eastAsia="Calibri Light" w:hAnsi="Calibri Light" w:cs="Calibri Light"/>
          <w:sz w:val="20"/>
          <w:szCs w:val="20"/>
        </w:rPr>
        <w:t xml:space="preserve">Partnerships with the International Community in Mozambique: In 2019, the UN was requested by the Development Partner’s Group (DCP) to chair its Secretariat, a reflection of the UN’s positive perception in the country further to the reform. Under the RC’s leadership, the secretariat led a process of consultation with DCP at the HOC and the HOM level to ascertain what would be the focus for the DCP as it headed toward the end of 2020 and into a new year. </w:t>
      </w:r>
    </w:p>
    <w:p w14:paraId="7E6466A2" w14:textId="6E625317" w:rsidR="03239B7C" w:rsidRPr="00F22F32" w:rsidRDefault="03239B7C" w:rsidP="03239B7C">
      <w:pPr>
        <w:spacing w:line="257" w:lineRule="auto"/>
        <w:jc w:val="both"/>
        <w:rPr>
          <w:sz w:val="20"/>
          <w:szCs w:val="20"/>
        </w:rPr>
      </w:pPr>
    </w:p>
    <w:p w14:paraId="339A9276" w14:textId="214B4E66" w:rsidR="21C425A0" w:rsidRPr="00F22F32" w:rsidRDefault="21C425A0" w:rsidP="000D1B83">
      <w:pPr>
        <w:spacing w:line="257" w:lineRule="auto"/>
        <w:jc w:val="both"/>
        <w:rPr>
          <w:rFonts w:ascii="Calibri Light" w:eastAsia="Calibri Light" w:hAnsi="Calibri Light" w:cs="Calibri Light"/>
          <w:sz w:val="20"/>
          <w:szCs w:val="20"/>
        </w:rPr>
      </w:pPr>
      <w:r w:rsidRPr="00F22F32">
        <w:rPr>
          <w:rFonts w:ascii="Calibri Light" w:eastAsia="Calibri Light" w:hAnsi="Calibri Light" w:cs="Calibri Light"/>
          <w:sz w:val="20"/>
          <w:szCs w:val="20"/>
        </w:rPr>
        <w:t>Through the secretariat, the UN has supported the DCP’s response to COVID-19 pandemic by ensuring that the DCP is provided with regular situation reports and by supporting the coordination between the OCG (Task Force on COVID-19) and the DCP. It has also coordinated the development of a COVID-19 Resource Tracker to capture the financial response of the international community to COVID-19. The result was the endorsement of the DCP mandated with focus on action and deliverable results and an agreement on the priority themes.</w:t>
      </w:r>
    </w:p>
    <w:p w14:paraId="3F82CD8B" w14:textId="140408A3" w:rsidR="03239B7C" w:rsidRPr="00F22F32" w:rsidRDefault="03239B7C" w:rsidP="03239B7C">
      <w:pPr>
        <w:spacing w:line="257" w:lineRule="auto"/>
        <w:jc w:val="both"/>
        <w:rPr>
          <w:sz w:val="20"/>
          <w:szCs w:val="20"/>
        </w:rPr>
      </w:pPr>
    </w:p>
    <w:p w14:paraId="18CE1371" w14:textId="2F87F27D" w:rsidR="21C425A0" w:rsidRPr="00F22F32" w:rsidRDefault="21C425A0" w:rsidP="000D1B83">
      <w:pPr>
        <w:spacing w:line="257" w:lineRule="auto"/>
        <w:jc w:val="both"/>
        <w:rPr>
          <w:rFonts w:ascii="Calibri Light" w:eastAsia="Calibri Light" w:hAnsi="Calibri Light" w:cs="Calibri Light"/>
          <w:sz w:val="20"/>
          <w:szCs w:val="20"/>
        </w:rPr>
      </w:pPr>
      <w:r w:rsidRPr="00F22F32">
        <w:rPr>
          <w:rFonts w:ascii="Calibri Light" w:eastAsia="Calibri Light" w:hAnsi="Calibri Light" w:cs="Calibri Light"/>
          <w:sz w:val="20"/>
          <w:szCs w:val="20"/>
        </w:rPr>
        <w:t>In her role as the Head of the Secretariat for the DCP, the RC has been instrumental in proposing a renewed focus on the theme of "Macroeconomics, fiscal management and Financing for Development". A new ‘coalition' of specialist agencies, institutions and cooperation partners (and members of the DCP) have formed to look at supporting this theme, in part through renewed and developed relationships with IFI's (the IMF, WB, AfDB, for example, are all members).</w:t>
      </w:r>
    </w:p>
    <w:p w14:paraId="38F90BD1" w14:textId="54B87C3F" w:rsidR="03239B7C" w:rsidRPr="00F22F32" w:rsidRDefault="03239B7C" w:rsidP="03239B7C">
      <w:pPr>
        <w:spacing w:after="160" w:line="259" w:lineRule="auto"/>
        <w:jc w:val="both"/>
        <w:rPr>
          <w:sz w:val="20"/>
          <w:szCs w:val="20"/>
        </w:rPr>
      </w:pPr>
    </w:p>
    <w:p w14:paraId="21FA81C1" w14:textId="57C66B1F" w:rsidR="4CF2DF11" w:rsidRPr="00F22F32" w:rsidRDefault="4CF2DF11" w:rsidP="03239B7C">
      <w:pPr>
        <w:spacing w:after="160" w:line="259" w:lineRule="auto"/>
        <w:jc w:val="both"/>
        <w:rPr>
          <w:rFonts w:asciiTheme="majorHAnsi" w:eastAsiaTheme="majorEastAsia" w:hAnsiTheme="majorHAnsi" w:cstheme="majorBidi"/>
          <w:sz w:val="20"/>
          <w:szCs w:val="20"/>
        </w:rPr>
      </w:pPr>
      <w:r w:rsidRPr="00F22F32">
        <w:rPr>
          <w:rFonts w:asciiTheme="majorHAnsi" w:eastAsiaTheme="majorEastAsia" w:hAnsiTheme="majorHAnsi" w:cstheme="majorBidi"/>
          <w:sz w:val="20"/>
          <w:szCs w:val="20"/>
        </w:rPr>
        <w:t xml:space="preserve">The RC also participated in the high-profile political dialogue platform on COVID-19, representing the UN </w:t>
      </w:r>
      <w:r w:rsidRPr="00F22F32">
        <w:rPr>
          <w:rFonts w:asciiTheme="majorHAnsi" w:eastAsiaTheme="majorEastAsia" w:hAnsiTheme="majorHAnsi" w:cstheme="majorBidi"/>
          <w:sz w:val="20"/>
          <w:szCs w:val="20"/>
        </w:rPr>
        <w:lastRenderedPageBreak/>
        <w:t>and contribute UN convening power and policy dialogue with authorities on health, social protection, macro-fiscal space, the private sector and education. The members of the ICCT include ambassadors from member states with the largest development portfolio in Mozambique, IFIs and the UN.</w:t>
      </w:r>
    </w:p>
    <w:p w14:paraId="669EF402" w14:textId="38AF8138" w:rsidR="008E1CAC" w:rsidRPr="00F22F32" w:rsidRDefault="008E1CAC" w:rsidP="03239B7C">
      <w:pPr>
        <w:widowControl/>
        <w:autoSpaceDE/>
        <w:autoSpaceDN/>
        <w:spacing w:after="160" w:line="259" w:lineRule="auto"/>
        <w:jc w:val="both"/>
        <w:rPr>
          <w:rFonts w:asciiTheme="majorHAnsi" w:hAnsiTheme="majorHAnsi" w:cstheme="majorBidi"/>
          <w:sz w:val="20"/>
          <w:szCs w:val="20"/>
        </w:rPr>
      </w:pPr>
    </w:p>
    <w:p w14:paraId="4878834A" w14:textId="71AB1D80" w:rsidR="00727D4F" w:rsidRPr="00F22F32" w:rsidRDefault="00727D4F" w:rsidP="00727D4F">
      <w:pPr>
        <w:shd w:val="clear" w:color="auto" w:fill="FFFFFF"/>
        <w:jc w:val="both"/>
        <w:rPr>
          <w:rFonts w:asciiTheme="majorHAnsi" w:eastAsia="Calibri" w:hAnsiTheme="majorHAnsi" w:cstheme="majorHAnsi"/>
          <w:sz w:val="20"/>
          <w:szCs w:val="20"/>
          <w:lang w:val="en-GB"/>
        </w:rPr>
      </w:pPr>
      <w:r w:rsidRPr="00F22F32">
        <w:rPr>
          <w:rFonts w:asciiTheme="majorHAnsi" w:eastAsia="Calibri" w:hAnsiTheme="majorHAnsi" w:cstheme="majorHAnsi"/>
          <w:sz w:val="20"/>
          <w:szCs w:val="20"/>
        </w:rPr>
        <w:t>The UN extended its partnerships forged particularly during the pandemic, bringing innovation such as with: JHU to produce BCC manuals, Helpcode that in partnership with VODACOM is setting-up e-Voucher platforms, with FSDMOZ to set-up a GBV Reporting Platform - USSD &amp; Voice and support to Linha Verde, free inter-agency humanitarian assistance/feedback hotline, in the context of COVID-19 to address the lack of a GBV hotline in the country, through training of operators, and working to make a closer link (Outcome 4).</w:t>
      </w:r>
    </w:p>
    <w:p w14:paraId="3996ECEE" w14:textId="77777777" w:rsidR="008E1CAC" w:rsidRPr="00F22F32" w:rsidRDefault="008E1CAC" w:rsidP="008E1CAC">
      <w:pPr>
        <w:shd w:val="clear" w:color="auto" w:fill="FFFFFF"/>
        <w:jc w:val="both"/>
        <w:rPr>
          <w:rFonts w:asciiTheme="majorHAnsi" w:eastAsia="Calibri" w:hAnsiTheme="majorHAnsi" w:cstheme="majorHAnsi"/>
          <w:sz w:val="20"/>
          <w:szCs w:val="20"/>
        </w:rPr>
      </w:pPr>
    </w:p>
    <w:p w14:paraId="08D374B0" w14:textId="5ED155AA" w:rsidR="00727D4F" w:rsidRPr="00F22F32" w:rsidRDefault="00E7555D" w:rsidP="00727D4F">
      <w:pPr>
        <w:jc w:val="both"/>
        <w:rPr>
          <w:rFonts w:asciiTheme="majorHAnsi" w:hAnsiTheme="majorHAnsi" w:cstheme="majorHAnsi"/>
          <w:sz w:val="20"/>
          <w:szCs w:val="20"/>
        </w:rPr>
      </w:pPr>
      <w:r w:rsidRPr="00F22F32">
        <w:rPr>
          <w:rFonts w:asciiTheme="majorHAnsi" w:hAnsiTheme="majorHAnsi" w:cstheme="majorHAnsi"/>
          <w:sz w:val="20"/>
          <w:szCs w:val="20"/>
        </w:rPr>
        <w:t>I</w:t>
      </w:r>
      <w:r w:rsidR="00727D4F" w:rsidRPr="00F22F32">
        <w:rPr>
          <w:rFonts w:asciiTheme="majorHAnsi" w:hAnsiTheme="majorHAnsi" w:cstheme="majorHAnsi"/>
          <w:sz w:val="20"/>
          <w:szCs w:val="20"/>
        </w:rPr>
        <w:t xml:space="preserve">mportance of enhanced coordination amongst development partners and </w:t>
      </w:r>
      <w:r w:rsidRPr="00F22F32">
        <w:rPr>
          <w:rFonts w:asciiTheme="majorHAnsi" w:hAnsiTheme="majorHAnsi" w:cstheme="majorHAnsi"/>
          <w:sz w:val="20"/>
          <w:szCs w:val="20"/>
        </w:rPr>
        <w:t xml:space="preserve">the </w:t>
      </w:r>
      <w:r w:rsidR="00727D4F" w:rsidRPr="00F22F32">
        <w:rPr>
          <w:rFonts w:asciiTheme="majorHAnsi" w:hAnsiTheme="majorHAnsi" w:cstheme="majorHAnsi"/>
          <w:sz w:val="20"/>
          <w:szCs w:val="20"/>
        </w:rPr>
        <w:t>UN in providing technical and financial support to the Go</w:t>
      </w:r>
      <w:r w:rsidRPr="00F22F32">
        <w:rPr>
          <w:rFonts w:asciiTheme="majorHAnsi" w:hAnsiTheme="majorHAnsi" w:cstheme="majorHAnsi"/>
          <w:sz w:val="20"/>
          <w:szCs w:val="20"/>
        </w:rPr>
        <w:t>M</w:t>
      </w:r>
      <w:r w:rsidR="00727D4F" w:rsidRPr="00F22F32">
        <w:rPr>
          <w:rFonts w:asciiTheme="majorHAnsi" w:hAnsiTheme="majorHAnsi" w:cstheme="majorHAnsi"/>
          <w:sz w:val="20"/>
          <w:szCs w:val="20"/>
        </w:rPr>
        <w:t xml:space="preserve">: the design of the </w:t>
      </w:r>
      <w:r w:rsidR="00A1456B" w:rsidRPr="00F22F32">
        <w:rPr>
          <w:rFonts w:asciiTheme="majorHAnsi" w:hAnsiTheme="majorHAnsi" w:cstheme="majorHAnsi"/>
          <w:sz w:val="20"/>
          <w:szCs w:val="20"/>
        </w:rPr>
        <w:t>COVID</w:t>
      </w:r>
      <w:r w:rsidR="00727D4F" w:rsidRPr="00F22F32">
        <w:rPr>
          <w:rFonts w:asciiTheme="majorHAnsi" w:hAnsiTheme="majorHAnsi" w:cstheme="majorHAnsi"/>
          <w:sz w:val="20"/>
          <w:szCs w:val="20"/>
        </w:rPr>
        <w:t xml:space="preserve">-19 Social Protection Response Plan was led by the Ministry of Gender, Children and Social Action, and had the support of development partners and UN agencies in a coordinated and harmonized manner, through the Technical Advisory Group (TAG) for the </w:t>
      </w:r>
      <w:r w:rsidR="00A1456B" w:rsidRPr="00F22F32">
        <w:rPr>
          <w:rFonts w:asciiTheme="majorHAnsi" w:hAnsiTheme="majorHAnsi" w:cstheme="majorHAnsi"/>
          <w:sz w:val="20"/>
          <w:szCs w:val="20"/>
        </w:rPr>
        <w:t>COVID</w:t>
      </w:r>
      <w:r w:rsidR="00727D4F" w:rsidRPr="00F22F32">
        <w:rPr>
          <w:rFonts w:asciiTheme="majorHAnsi" w:hAnsiTheme="majorHAnsi" w:cstheme="majorHAnsi"/>
          <w:sz w:val="20"/>
          <w:szCs w:val="20"/>
        </w:rPr>
        <w:t>-19 response, constituted by three UN agencies and three Development Partners, making possible to raise additional financial support to implement Social Protection Response Plan to COVID-19 (Outcome 5).</w:t>
      </w:r>
    </w:p>
    <w:p w14:paraId="093633E7" w14:textId="77777777" w:rsidR="00727D4F" w:rsidRPr="00F22F32" w:rsidRDefault="00727D4F" w:rsidP="00727D4F">
      <w:pPr>
        <w:jc w:val="both"/>
        <w:rPr>
          <w:rFonts w:asciiTheme="majorHAnsi" w:hAnsiTheme="majorHAnsi" w:cstheme="majorHAnsi"/>
          <w:sz w:val="20"/>
          <w:szCs w:val="20"/>
        </w:rPr>
      </w:pPr>
    </w:p>
    <w:p w14:paraId="65B0AEFC" w14:textId="09D0748B" w:rsidR="00727D4F" w:rsidRPr="00F22F32" w:rsidRDefault="00727D4F" w:rsidP="00727D4F">
      <w:pPr>
        <w:jc w:val="both"/>
        <w:rPr>
          <w:rFonts w:asciiTheme="majorHAnsi" w:hAnsiTheme="majorHAnsi" w:cstheme="majorHAnsi"/>
          <w:sz w:val="20"/>
          <w:szCs w:val="20"/>
        </w:rPr>
      </w:pPr>
      <w:r w:rsidRPr="00F22F32">
        <w:rPr>
          <w:rFonts w:asciiTheme="majorHAnsi" w:hAnsiTheme="majorHAnsi" w:cstheme="majorHAnsi"/>
          <w:sz w:val="20"/>
          <w:szCs w:val="20"/>
        </w:rPr>
        <w:t>Civil society involvement: the</w:t>
      </w:r>
      <w:r w:rsidR="00A1456B" w:rsidRPr="00F22F32">
        <w:rPr>
          <w:rFonts w:asciiTheme="majorHAnsi" w:hAnsiTheme="majorHAnsi" w:cstheme="majorHAnsi"/>
          <w:sz w:val="20"/>
          <w:szCs w:val="20"/>
        </w:rPr>
        <w:t xml:space="preserve"> COVID</w:t>
      </w:r>
      <w:r w:rsidRPr="00F22F32">
        <w:rPr>
          <w:rFonts w:asciiTheme="majorHAnsi" w:hAnsiTheme="majorHAnsi" w:cstheme="majorHAnsi"/>
          <w:sz w:val="20"/>
          <w:szCs w:val="20"/>
        </w:rPr>
        <w:t xml:space="preserve">-19 Social Protection Response Plan involves significant participation from Civil Society Organizations (OSC) and community-based organizations for the implementation of the </w:t>
      </w:r>
      <w:r w:rsidR="00A1456B" w:rsidRPr="00F22F32">
        <w:rPr>
          <w:rFonts w:asciiTheme="majorHAnsi" w:hAnsiTheme="majorHAnsi" w:cstheme="majorHAnsi"/>
          <w:sz w:val="20"/>
          <w:szCs w:val="20"/>
        </w:rPr>
        <w:t>COVID-19</w:t>
      </w:r>
      <w:r w:rsidRPr="00F22F32">
        <w:rPr>
          <w:rFonts w:asciiTheme="majorHAnsi" w:hAnsiTheme="majorHAnsi" w:cstheme="majorHAnsi"/>
          <w:sz w:val="20"/>
          <w:szCs w:val="20"/>
        </w:rPr>
        <w:t xml:space="preserve"> PASD-PE. The active engagement of OSC is seen as fundamental for the identification and verification of potential beneficiaries, as well as for plan monitoring, </w:t>
      </w:r>
      <w:r w:rsidR="00E7555D" w:rsidRPr="00F22F32">
        <w:rPr>
          <w:rFonts w:asciiTheme="majorHAnsi" w:hAnsiTheme="majorHAnsi" w:cstheme="majorHAnsi"/>
          <w:sz w:val="20"/>
          <w:szCs w:val="20"/>
        </w:rPr>
        <w:t>channeling</w:t>
      </w:r>
      <w:r w:rsidRPr="00F22F32">
        <w:rPr>
          <w:rFonts w:asciiTheme="majorHAnsi" w:hAnsiTheme="majorHAnsi" w:cstheme="majorHAnsi"/>
          <w:sz w:val="20"/>
          <w:szCs w:val="20"/>
        </w:rPr>
        <w:t xml:space="preserve"> any beneficiary complaints and claims, to ensure effective and agile implementation of the Response Plan. The UN Agencies supported effective and active engagement of NGOs to monitor Social Protection Response Plan to </w:t>
      </w:r>
      <w:r w:rsidR="00A1456B" w:rsidRPr="00F22F32">
        <w:rPr>
          <w:rFonts w:asciiTheme="majorHAnsi" w:hAnsiTheme="majorHAnsi" w:cstheme="majorHAnsi"/>
          <w:sz w:val="20"/>
          <w:szCs w:val="20"/>
        </w:rPr>
        <w:t>COVID</w:t>
      </w:r>
      <w:r w:rsidRPr="00F22F32">
        <w:rPr>
          <w:rFonts w:asciiTheme="majorHAnsi" w:hAnsiTheme="majorHAnsi" w:cstheme="majorHAnsi"/>
          <w:sz w:val="20"/>
          <w:szCs w:val="20"/>
        </w:rPr>
        <w:t>-19 in Mozambique</w:t>
      </w:r>
      <w:r w:rsidR="00C20AA6" w:rsidRPr="00F22F32">
        <w:rPr>
          <w:rFonts w:asciiTheme="majorHAnsi" w:hAnsiTheme="majorHAnsi" w:cstheme="majorHAnsi"/>
          <w:sz w:val="20"/>
          <w:szCs w:val="20"/>
        </w:rPr>
        <w:t xml:space="preserve"> (Outcome 5)</w:t>
      </w:r>
      <w:r w:rsidR="00E7555D" w:rsidRPr="00F22F32">
        <w:rPr>
          <w:rFonts w:asciiTheme="majorHAnsi" w:hAnsiTheme="majorHAnsi" w:cstheme="majorHAnsi"/>
          <w:sz w:val="20"/>
          <w:szCs w:val="20"/>
        </w:rPr>
        <w:t>.</w:t>
      </w:r>
    </w:p>
    <w:p w14:paraId="4635E36C" w14:textId="77777777" w:rsidR="00727D4F" w:rsidRPr="00F22F32" w:rsidRDefault="00727D4F" w:rsidP="00727D4F">
      <w:pPr>
        <w:shd w:val="clear" w:color="auto" w:fill="FFFFFF"/>
        <w:jc w:val="both"/>
        <w:rPr>
          <w:rFonts w:asciiTheme="majorHAnsi" w:eastAsia="Calibri" w:hAnsiTheme="majorHAnsi" w:cstheme="majorHAnsi"/>
          <w:sz w:val="20"/>
          <w:szCs w:val="20"/>
        </w:rPr>
      </w:pPr>
    </w:p>
    <w:p w14:paraId="66D20E8C" w14:textId="5B401C52" w:rsidR="008E1CAC" w:rsidRPr="00F22F32" w:rsidRDefault="008E1CAC" w:rsidP="008E1CAC">
      <w:pPr>
        <w:shd w:val="clear" w:color="auto" w:fill="FFFFFF"/>
        <w:jc w:val="both"/>
        <w:rPr>
          <w:rFonts w:asciiTheme="majorHAnsi" w:eastAsia="Calibri" w:hAnsiTheme="majorHAnsi" w:cstheme="majorHAnsi"/>
          <w:sz w:val="20"/>
          <w:szCs w:val="20"/>
        </w:rPr>
      </w:pPr>
      <w:r w:rsidRPr="00F22F32">
        <w:rPr>
          <w:rFonts w:asciiTheme="majorHAnsi" w:eastAsia="Calibri" w:hAnsiTheme="majorHAnsi" w:cstheme="majorHAnsi"/>
          <w:sz w:val="20"/>
          <w:szCs w:val="20"/>
        </w:rPr>
        <w:t xml:space="preserve">The partnerships with CSOs and CBOs particularly Community Based including Organizations of Women and </w:t>
      </w:r>
      <w:r w:rsidR="007C630C" w:rsidRPr="00F22F32">
        <w:rPr>
          <w:rFonts w:asciiTheme="majorHAnsi" w:eastAsia="Calibri" w:hAnsiTheme="majorHAnsi" w:cstheme="majorHAnsi"/>
          <w:sz w:val="20"/>
          <w:szCs w:val="20"/>
        </w:rPr>
        <w:t>Youth</w:t>
      </w:r>
      <w:r w:rsidRPr="00F22F32">
        <w:rPr>
          <w:rFonts w:asciiTheme="majorHAnsi" w:eastAsia="Calibri" w:hAnsiTheme="majorHAnsi" w:cstheme="majorHAnsi"/>
          <w:sz w:val="20"/>
          <w:szCs w:val="20"/>
        </w:rPr>
        <w:t xml:space="preserve">, Mainstream and Community Media </w:t>
      </w:r>
      <w:r w:rsidRPr="00F22F32">
        <w:rPr>
          <w:rFonts w:asciiTheme="majorHAnsi" w:eastAsia="Calibri" w:hAnsiTheme="majorHAnsi" w:cstheme="majorHAnsi"/>
          <w:sz w:val="20"/>
          <w:szCs w:val="20"/>
        </w:rPr>
        <w:t>particularly the National Institute of Social Communication, Faith-based organizations, Traditional and Religious Leaders, Community influencers, Ministries of Gender, Interior, Health and Justice and the Private sector and celebrities remained crucial to the advancement of gender equality especially in relation to  awareness and mobilizing communities and key actors to prevent Gender Based Violence</w:t>
      </w:r>
      <w:r w:rsidR="00727D4F" w:rsidRPr="00F22F32">
        <w:rPr>
          <w:rFonts w:asciiTheme="majorHAnsi" w:eastAsia="Calibri" w:hAnsiTheme="majorHAnsi" w:cstheme="majorHAnsi"/>
          <w:sz w:val="20"/>
          <w:szCs w:val="20"/>
        </w:rPr>
        <w:t xml:space="preserve">. </w:t>
      </w:r>
      <w:r w:rsidRPr="00F22F32">
        <w:rPr>
          <w:rFonts w:asciiTheme="majorHAnsi" w:eastAsia="Calibri" w:hAnsiTheme="majorHAnsi" w:cstheme="majorHAnsi"/>
          <w:sz w:val="20"/>
          <w:szCs w:val="20"/>
        </w:rPr>
        <w:t>The partnership with the private sector (BCI) and Mobile Phone Operators enabled an expanded  outreach of messages on prevention of GBV using ATM during the 16 days</w:t>
      </w:r>
      <w:r w:rsidR="00E7555D" w:rsidRPr="00F22F32">
        <w:rPr>
          <w:rFonts w:asciiTheme="majorHAnsi" w:eastAsia="Calibri" w:hAnsiTheme="majorHAnsi" w:cstheme="majorHAnsi"/>
          <w:sz w:val="20"/>
          <w:szCs w:val="20"/>
        </w:rPr>
        <w:t xml:space="preserve"> of activism</w:t>
      </w:r>
      <w:r w:rsidRPr="00F22F32">
        <w:rPr>
          <w:rFonts w:asciiTheme="majorHAnsi" w:eastAsia="Calibri" w:hAnsiTheme="majorHAnsi" w:cstheme="majorHAnsi"/>
          <w:sz w:val="20"/>
          <w:szCs w:val="20"/>
        </w:rPr>
        <w:t>, which contributed to increase awareness of millions of clients all over the country from rural to urban targeting diverse population groups.</w:t>
      </w:r>
    </w:p>
    <w:p w14:paraId="6D93B31C" w14:textId="77777777" w:rsidR="00C20AA6" w:rsidRPr="00F22F32" w:rsidRDefault="00C20AA6" w:rsidP="00C20AA6">
      <w:pPr>
        <w:widowControl/>
        <w:autoSpaceDE/>
        <w:autoSpaceDN/>
        <w:spacing w:after="160" w:line="259" w:lineRule="auto"/>
        <w:jc w:val="both"/>
        <w:rPr>
          <w:rFonts w:asciiTheme="majorHAnsi" w:hAnsiTheme="majorHAnsi" w:cstheme="majorHAnsi"/>
          <w:sz w:val="20"/>
          <w:szCs w:val="20"/>
        </w:rPr>
      </w:pPr>
    </w:p>
    <w:p w14:paraId="7A07730E" w14:textId="66A9D94B" w:rsidR="00C20AA6" w:rsidRPr="00F22F32" w:rsidRDefault="00C20AA6" w:rsidP="00C20AA6">
      <w:pPr>
        <w:widowControl/>
        <w:autoSpaceDE/>
        <w:autoSpaceDN/>
        <w:spacing w:after="160" w:line="259" w:lineRule="auto"/>
        <w:jc w:val="both"/>
        <w:rPr>
          <w:rFonts w:asciiTheme="majorHAnsi" w:hAnsiTheme="majorHAnsi" w:cstheme="majorHAnsi"/>
          <w:sz w:val="20"/>
          <w:szCs w:val="20"/>
        </w:rPr>
      </w:pPr>
      <w:r w:rsidRPr="00F22F32">
        <w:rPr>
          <w:rFonts w:asciiTheme="majorHAnsi" w:hAnsiTheme="majorHAnsi" w:cstheme="majorHAnsi"/>
          <w:sz w:val="20"/>
          <w:szCs w:val="20"/>
        </w:rPr>
        <w:t>The UN has signed a comprehensive Memorandum of Understanding (MOU) with the Commercial and Investment Bank (BCI) in 2020. The MOU envisages, among other areas of cooperation, to promote the access of women and young women to financial services (including preferential credit and insurance for agriculture, livestock, agro-processing and non-farm commercial initiatives). It is expected that the gender gap in the access to climate resilience related financial services is narrowed (Outcome 10)</w:t>
      </w:r>
      <w:r w:rsidR="007F158A" w:rsidRPr="00F22F32">
        <w:rPr>
          <w:rFonts w:asciiTheme="majorHAnsi" w:hAnsiTheme="majorHAnsi" w:cstheme="majorHAnsi"/>
          <w:sz w:val="20"/>
          <w:szCs w:val="20"/>
        </w:rPr>
        <w:t>.</w:t>
      </w:r>
    </w:p>
    <w:p w14:paraId="0AD5C8FD" w14:textId="4721E5CB" w:rsidR="00C20AA6" w:rsidRPr="00F22F32" w:rsidRDefault="00C20AA6" w:rsidP="00C20AA6">
      <w:pPr>
        <w:widowControl/>
        <w:autoSpaceDE/>
        <w:autoSpaceDN/>
        <w:spacing w:after="160" w:line="259" w:lineRule="auto"/>
        <w:jc w:val="both"/>
        <w:rPr>
          <w:rFonts w:asciiTheme="majorHAnsi" w:hAnsiTheme="majorHAnsi" w:cstheme="majorHAnsi"/>
          <w:sz w:val="20"/>
          <w:szCs w:val="20"/>
        </w:rPr>
      </w:pPr>
      <w:r w:rsidRPr="00F22F32">
        <w:rPr>
          <w:rFonts w:asciiTheme="majorHAnsi" w:hAnsiTheme="majorHAnsi" w:cstheme="majorHAnsi"/>
          <w:sz w:val="20"/>
          <w:szCs w:val="20"/>
        </w:rPr>
        <w:t>MoU between UN, GREPOC and UEM has been signed with the purpose of  establishes a formal collaboration between the Parties in the development of technical assistance activities for GREPOC and the national, sub-local and local institutions of the housing and human settlements sector, as well as cooperation partners wishing to operate in the area of housing recovery, providing expert advice and orientations related to physical planning and spatial planning as well as the resilient reconstruction of infrastructure and buildings affected by cyclones Kenneth and Idai. GREPOC has requested UN-Habitat technical assistance for the Resilient Housing reconstruction in areas affected by Cyclones Idai and Kenneth (Outcome 10)</w:t>
      </w:r>
      <w:r w:rsidR="00F05049" w:rsidRPr="00F22F32">
        <w:rPr>
          <w:rFonts w:asciiTheme="majorHAnsi" w:hAnsiTheme="majorHAnsi" w:cstheme="majorHAnsi"/>
          <w:sz w:val="20"/>
          <w:szCs w:val="20"/>
        </w:rPr>
        <w:t>.</w:t>
      </w:r>
    </w:p>
    <w:p w14:paraId="468C50C6" w14:textId="7A796F17" w:rsidR="00C20AA6" w:rsidRPr="00F22F32" w:rsidRDefault="00C20AA6" w:rsidP="00C20AA6">
      <w:pPr>
        <w:widowControl/>
        <w:autoSpaceDE/>
        <w:autoSpaceDN/>
        <w:spacing w:after="160" w:line="259" w:lineRule="auto"/>
        <w:jc w:val="both"/>
        <w:rPr>
          <w:rFonts w:asciiTheme="majorHAnsi" w:hAnsiTheme="majorHAnsi" w:cstheme="majorBidi"/>
          <w:sz w:val="20"/>
          <w:szCs w:val="20"/>
        </w:rPr>
      </w:pPr>
      <w:r w:rsidRPr="0F957377">
        <w:rPr>
          <w:rFonts w:asciiTheme="majorHAnsi" w:hAnsiTheme="majorHAnsi" w:cstheme="majorBidi"/>
          <w:sz w:val="20"/>
          <w:szCs w:val="20"/>
        </w:rPr>
        <w:t xml:space="preserve">The MRF also </w:t>
      </w:r>
      <w:r w:rsidR="00F05049" w:rsidRPr="0F957377">
        <w:rPr>
          <w:rFonts w:asciiTheme="majorHAnsi" w:hAnsiTheme="majorHAnsi" w:cstheme="majorBidi"/>
          <w:sz w:val="20"/>
          <w:szCs w:val="20"/>
        </w:rPr>
        <w:t xml:space="preserve">is </w:t>
      </w:r>
      <w:r w:rsidRPr="0F957377">
        <w:rPr>
          <w:rFonts w:asciiTheme="majorHAnsi" w:hAnsiTheme="majorHAnsi" w:cstheme="majorBidi"/>
          <w:sz w:val="20"/>
          <w:szCs w:val="20"/>
        </w:rPr>
        <w:t>involved a partnership with the academic institution UniPiaget to train 50 undergraduate engineers and architects and 12 lecturers to supervise the construction quality and ensure resilient construction techniques, BBB principles and also to provide knowledge sharing and learning opportunity to the interns in a practical ground with local ground reality (Outcome 10)</w:t>
      </w:r>
      <w:r w:rsidR="00F05049" w:rsidRPr="0F957377">
        <w:rPr>
          <w:rFonts w:asciiTheme="majorHAnsi" w:hAnsiTheme="majorHAnsi" w:cstheme="majorBidi"/>
          <w:sz w:val="20"/>
          <w:szCs w:val="20"/>
        </w:rPr>
        <w:t>.</w:t>
      </w:r>
    </w:p>
    <w:p w14:paraId="4B52A681" w14:textId="48DDC764" w:rsidR="008E1CAC" w:rsidRPr="00F22F32" w:rsidRDefault="008E1CAC" w:rsidP="008E1CAC">
      <w:pPr>
        <w:jc w:val="both"/>
        <w:rPr>
          <w:rFonts w:asciiTheme="majorHAnsi" w:hAnsiTheme="majorHAnsi" w:cstheme="majorHAnsi"/>
          <w:i/>
          <w:iCs/>
          <w:sz w:val="20"/>
          <w:szCs w:val="20"/>
        </w:rPr>
      </w:pPr>
    </w:p>
    <w:p w14:paraId="66D7C26A" w14:textId="5E443EC2" w:rsidR="000065C3" w:rsidRPr="00F22F32" w:rsidRDefault="000065C3" w:rsidP="000065C3">
      <w:pPr>
        <w:widowControl/>
        <w:autoSpaceDE/>
        <w:autoSpaceDN/>
        <w:spacing w:after="160" w:line="259" w:lineRule="auto"/>
        <w:jc w:val="both"/>
        <w:rPr>
          <w:rFonts w:asciiTheme="majorHAnsi" w:hAnsiTheme="majorHAnsi" w:cstheme="majorHAnsi"/>
          <w:b/>
          <w:bCs/>
          <w:sz w:val="20"/>
          <w:szCs w:val="20"/>
        </w:rPr>
      </w:pPr>
      <w:r w:rsidRPr="00F22F32">
        <w:rPr>
          <w:rFonts w:asciiTheme="majorHAnsi" w:hAnsiTheme="majorHAnsi" w:cstheme="majorHAnsi"/>
          <w:b/>
          <w:bCs/>
          <w:sz w:val="20"/>
          <w:szCs w:val="20"/>
        </w:rPr>
        <w:t>Realignment of Government expenditure towards SDS (being climate sensitive/gender sensitive)</w:t>
      </w:r>
    </w:p>
    <w:p w14:paraId="7A65DB94" w14:textId="36A50E79" w:rsidR="00727D4F" w:rsidRPr="00F22F32" w:rsidRDefault="00727D4F" w:rsidP="007B4A37">
      <w:pPr>
        <w:jc w:val="both"/>
        <w:rPr>
          <w:rFonts w:ascii="Calibri Light" w:eastAsia="Calibri" w:hAnsi="Calibri Light" w:cs="Times New Roman"/>
          <w:sz w:val="20"/>
          <w:szCs w:val="20"/>
        </w:rPr>
      </w:pPr>
      <w:r w:rsidRPr="00F22F32">
        <w:rPr>
          <w:rFonts w:ascii="Calibri Light" w:eastAsia="Calibri" w:hAnsi="Calibri Light" w:cs="Times New Roman"/>
          <w:sz w:val="20"/>
          <w:szCs w:val="20"/>
        </w:rPr>
        <w:t>In addition, the UN also supported MITSS on the development of Pro-Employment Budgeting (PEB) analysis including the adoption of employment indicators designed by the project MozTrabalha</w:t>
      </w:r>
      <w:r w:rsidR="00C20AA6" w:rsidRPr="00F22F32">
        <w:rPr>
          <w:rFonts w:ascii="Calibri Light" w:eastAsia="Calibri" w:hAnsi="Calibri Light" w:cs="Times New Roman"/>
          <w:sz w:val="20"/>
          <w:szCs w:val="20"/>
        </w:rPr>
        <w:t xml:space="preserve"> (outcome 2)</w:t>
      </w:r>
      <w:r w:rsidRPr="00F22F32">
        <w:rPr>
          <w:rFonts w:ascii="Calibri Light" w:eastAsia="Calibri" w:hAnsi="Calibri Light" w:cs="Times New Roman"/>
          <w:sz w:val="20"/>
          <w:szCs w:val="20"/>
        </w:rPr>
        <w:t>.</w:t>
      </w:r>
    </w:p>
    <w:p w14:paraId="59A6A178" w14:textId="77777777" w:rsidR="007B4A37" w:rsidRPr="00F22F32" w:rsidRDefault="007B4A37" w:rsidP="007B4A37">
      <w:pPr>
        <w:jc w:val="both"/>
        <w:rPr>
          <w:rFonts w:asciiTheme="majorHAnsi" w:eastAsia="Times New Roman" w:hAnsiTheme="majorHAnsi" w:cstheme="majorHAnsi"/>
          <w:sz w:val="20"/>
          <w:szCs w:val="20"/>
        </w:rPr>
      </w:pPr>
    </w:p>
    <w:p w14:paraId="42E778EE" w14:textId="62C55F95" w:rsidR="00B2294B" w:rsidRPr="00F22F32" w:rsidRDefault="00B2294B" w:rsidP="007B4A37">
      <w:pPr>
        <w:jc w:val="both"/>
        <w:rPr>
          <w:rFonts w:asciiTheme="majorHAnsi" w:eastAsia="Times New Roman" w:hAnsiTheme="majorHAnsi" w:cstheme="majorHAnsi"/>
          <w:sz w:val="20"/>
          <w:szCs w:val="20"/>
        </w:rPr>
      </w:pPr>
      <w:r w:rsidRPr="00F22F32">
        <w:rPr>
          <w:rFonts w:asciiTheme="majorHAnsi" w:eastAsia="Times New Roman" w:hAnsiTheme="majorHAnsi" w:cstheme="majorHAnsi"/>
          <w:sz w:val="20"/>
          <w:szCs w:val="20"/>
        </w:rPr>
        <w:t>The M</w:t>
      </w:r>
      <w:r w:rsidR="0054071A" w:rsidRPr="00F22F32">
        <w:rPr>
          <w:rFonts w:asciiTheme="majorHAnsi" w:eastAsia="Times New Roman" w:hAnsiTheme="majorHAnsi" w:cstheme="majorHAnsi"/>
          <w:sz w:val="20"/>
          <w:szCs w:val="20"/>
        </w:rPr>
        <w:t>inistry of Economy and Finance</w:t>
      </w:r>
      <w:r w:rsidRPr="00F22F32">
        <w:rPr>
          <w:rFonts w:asciiTheme="majorHAnsi" w:eastAsia="Times New Roman" w:hAnsiTheme="majorHAnsi" w:cstheme="majorHAnsi"/>
          <w:sz w:val="20"/>
          <w:szCs w:val="20"/>
        </w:rPr>
        <w:t xml:space="preserve"> </w:t>
      </w:r>
      <w:r w:rsidR="0054071A" w:rsidRPr="00F22F32">
        <w:rPr>
          <w:rFonts w:asciiTheme="majorHAnsi" w:eastAsia="Times New Roman" w:hAnsiTheme="majorHAnsi" w:cstheme="majorHAnsi"/>
          <w:sz w:val="20"/>
          <w:szCs w:val="20"/>
        </w:rPr>
        <w:t xml:space="preserve">(MEF) </w:t>
      </w:r>
      <w:r w:rsidRPr="00F22F32">
        <w:rPr>
          <w:rFonts w:asciiTheme="majorHAnsi" w:eastAsia="Times New Roman" w:hAnsiTheme="majorHAnsi" w:cstheme="majorHAnsi"/>
          <w:sz w:val="20"/>
          <w:szCs w:val="20"/>
        </w:rPr>
        <w:t>has advanced in improving its capacity to track expenditure on environment and climate change in the public financial management system. A study provided findings to improve the budget coding in the State Financial Administration System (SISTAFE). This new coding will help policymakers and managers to track and allocate budget to address climate change and environment protection more effectively. The environment and climate budget tracking must be integrated in the new sub-programme for planning and budgeting (SPO). SOP and its manual (MPO) were elaborated in 2019. In 2020, testing of the SPO in e-SISTAFE was undertaken along with capacity building at the central level and in Gaza and Maputo provinces. (Outcome 2)</w:t>
      </w:r>
    </w:p>
    <w:p w14:paraId="4632E281" w14:textId="77777777" w:rsidR="00727D4F" w:rsidRPr="00F22F32" w:rsidRDefault="00727D4F" w:rsidP="000065C3">
      <w:pPr>
        <w:widowControl/>
        <w:autoSpaceDE/>
        <w:autoSpaceDN/>
        <w:spacing w:after="160" w:line="259" w:lineRule="auto"/>
        <w:jc w:val="both"/>
        <w:rPr>
          <w:rFonts w:asciiTheme="majorHAnsi" w:hAnsiTheme="majorHAnsi" w:cstheme="majorHAnsi"/>
          <w:b/>
          <w:bCs/>
          <w:sz w:val="20"/>
          <w:szCs w:val="20"/>
        </w:rPr>
      </w:pPr>
    </w:p>
    <w:p w14:paraId="7E4A470D" w14:textId="77777777" w:rsidR="000065C3" w:rsidRPr="00F22F32" w:rsidRDefault="000065C3" w:rsidP="000065C3">
      <w:pPr>
        <w:widowControl/>
        <w:autoSpaceDE/>
        <w:autoSpaceDN/>
        <w:spacing w:after="160" w:line="259" w:lineRule="auto"/>
        <w:jc w:val="both"/>
        <w:rPr>
          <w:rFonts w:asciiTheme="majorHAnsi" w:hAnsiTheme="majorHAnsi" w:cstheme="majorHAnsi"/>
          <w:b/>
          <w:bCs/>
          <w:sz w:val="20"/>
          <w:szCs w:val="20"/>
        </w:rPr>
      </w:pPr>
      <w:r w:rsidRPr="00F22F32">
        <w:rPr>
          <w:rFonts w:asciiTheme="majorHAnsi" w:hAnsiTheme="majorHAnsi" w:cstheme="majorHAnsi"/>
          <w:b/>
          <w:bCs/>
          <w:sz w:val="20"/>
          <w:szCs w:val="20"/>
        </w:rPr>
        <w:t>Strengthening procurement</w:t>
      </w:r>
    </w:p>
    <w:p w14:paraId="0294C92B" w14:textId="20F62B73" w:rsidR="000065C3" w:rsidRPr="00F22F32" w:rsidRDefault="000065C3" w:rsidP="000065C3">
      <w:pPr>
        <w:widowControl/>
        <w:autoSpaceDE/>
        <w:autoSpaceDN/>
        <w:spacing w:after="160" w:line="259" w:lineRule="auto"/>
        <w:jc w:val="both"/>
        <w:rPr>
          <w:rFonts w:asciiTheme="majorHAnsi" w:hAnsiTheme="majorHAnsi" w:cstheme="majorHAnsi"/>
          <w:b/>
          <w:bCs/>
          <w:sz w:val="20"/>
          <w:szCs w:val="20"/>
        </w:rPr>
      </w:pPr>
      <w:r w:rsidRPr="00F22F32">
        <w:rPr>
          <w:rFonts w:asciiTheme="majorHAnsi" w:hAnsiTheme="majorHAnsi" w:cstheme="majorHAnsi"/>
          <w:b/>
          <w:bCs/>
          <w:sz w:val="20"/>
          <w:szCs w:val="20"/>
        </w:rPr>
        <w:t>Domestic, international, private, and public financial floors of other stakeholders realigned with the above</w:t>
      </w:r>
    </w:p>
    <w:p w14:paraId="3653D797" w14:textId="49828FA1" w:rsidR="000065C3" w:rsidRPr="00F22F32" w:rsidRDefault="000065C3" w:rsidP="000065C3">
      <w:pPr>
        <w:jc w:val="both"/>
        <w:rPr>
          <w:rFonts w:asciiTheme="majorHAnsi" w:hAnsiTheme="majorHAnsi" w:cstheme="majorHAnsi"/>
          <w:sz w:val="20"/>
          <w:szCs w:val="20"/>
        </w:rPr>
      </w:pPr>
    </w:p>
    <w:p w14:paraId="78A73259" w14:textId="2D5CBC0C" w:rsidR="00BA0A4E" w:rsidRPr="00F22F32" w:rsidRDefault="009E7B7D" w:rsidP="009E7B7D">
      <w:pPr>
        <w:pStyle w:val="Heading3"/>
        <w:numPr>
          <w:ilvl w:val="1"/>
          <w:numId w:val="53"/>
        </w:numPr>
        <w:rPr>
          <w:rFonts w:cstheme="majorHAnsi"/>
          <w:i/>
          <w:iCs/>
          <w:color w:val="auto"/>
        </w:rPr>
      </w:pPr>
      <w:bookmarkStart w:id="25" w:name="_Toc71207080"/>
      <w:r w:rsidRPr="00F22F32">
        <w:rPr>
          <w:rFonts w:cstheme="majorHAnsi"/>
          <w:i/>
          <w:iCs/>
          <w:color w:val="auto"/>
        </w:rPr>
        <w:t>R</w:t>
      </w:r>
      <w:r w:rsidR="00BA0A4E" w:rsidRPr="00F22F32">
        <w:rPr>
          <w:rFonts w:cstheme="majorHAnsi"/>
          <w:i/>
          <w:iCs/>
          <w:color w:val="auto"/>
        </w:rPr>
        <w:t>esults of the UN Working more and better together: UN Coherence, Effectiveness and Efficiency (2 pages)</w:t>
      </w:r>
      <w:bookmarkEnd w:id="25"/>
    </w:p>
    <w:p w14:paraId="73F2055B" w14:textId="26C460A2" w:rsidR="001467BD" w:rsidRPr="00F22F32" w:rsidRDefault="001467BD" w:rsidP="00BA0A4E">
      <w:pPr>
        <w:rPr>
          <w:rFonts w:asciiTheme="majorHAnsi" w:hAnsiTheme="majorHAnsi" w:cstheme="majorHAnsi"/>
          <w:b/>
          <w:bCs/>
          <w:i/>
          <w:iCs/>
          <w:sz w:val="32"/>
          <w:szCs w:val="32"/>
        </w:rPr>
      </w:pPr>
    </w:p>
    <w:p w14:paraId="105A8EBE" w14:textId="29F65380" w:rsidR="00C93719" w:rsidRPr="00F22F32" w:rsidRDefault="00CC51E5" w:rsidP="00FF25CA">
      <w:pPr>
        <w:pStyle w:val="ListParagraph"/>
        <w:numPr>
          <w:ilvl w:val="0"/>
          <w:numId w:val="43"/>
        </w:numPr>
        <w:rPr>
          <w:rFonts w:asciiTheme="majorHAnsi" w:hAnsiTheme="majorHAnsi" w:cstheme="majorHAnsi"/>
          <w:b/>
          <w:bCs/>
          <w:sz w:val="20"/>
          <w:szCs w:val="20"/>
        </w:rPr>
      </w:pPr>
      <w:r w:rsidRPr="00F22F32">
        <w:rPr>
          <w:rFonts w:asciiTheme="majorHAnsi" w:hAnsiTheme="majorHAnsi" w:cstheme="majorHAnsi"/>
          <w:b/>
          <w:bCs/>
          <w:sz w:val="20"/>
          <w:szCs w:val="20"/>
        </w:rPr>
        <w:t>How the tailored UNCT configuration resulted in a more relevant and effective delivery? N/A</w:t>
      </w:r>
    </w:p>
    <w:p w14:paraId="69EE29B8" w14:textId="43F72B55" w:rsidR="00CC51E5" w:rsidRPr="00F22F32" w:rsidRDefault="00CC51E5" w:rsidP="00FF25CA">
      <w:pPr>
        <w:pStyle w:val="ListParagraph"/>
        <w:numPr>
          <w:ilvl w:val="0"/>
          <w:numId w:val="43"/>
        </w:numPr>
        <w:rPr>
          <w:rFonts w:asciiTheme="majorHAnsi" w:hAnsiTheme="majorHAnsi" w:cstheme="majorHAnsi"/>
          <w:b/>
          <w:bCs/>
          <w:sz w:val="20"/>
          <w:szCs w:val="20"/>
        </w:rPr>
      </w:pPr>
      <w:r w:rsidRPr="00F22F32">
        <w:rPr>
          <w:rFonts w:asciiTheme="majorHAnsi" w:hAnsiTheme="majorHAnsi" w:cstheme="majorHAnsi"/>
          <w:b/>
          <w:bCs/>
          <w:sz w:val="20"/>
          <w:szCs w:val="20"/>
        </w:rPr>
        <w:t>Use of joint work plans, results groups, and other innovations to reduce transaction costs</w:t>
      </w:r>
    </w:p>
    <w:p w14:paraId="5DA32E41" w14:textId="77EA508D" w:rsidR="00CC51E5" w:rsidRPr="00F22F32" w:rsidRDefault="00CC51E5" w:rsidP="00FF25CA">
      <w:pPr>
        <w:pStyle w:val="ListParagraph"/>
        <w:numPr>
          <w:ilvl w:val="0"/>
          <w:numId w:val="43"/>
        </w:numPr>
        <w:rPr>
          <w:rFonts w:asciiTheme="majorHAnsi" w:hAnsiTheme="majorHAnsi" w:cstheme="majorHAnsi"/>
          <w:b/>
          <w:bCs/>
          <w:sz w:val="20"/>
          <w:szCs w:val="20"/>
        </w:rPr>
      </w:pPr>
      <w:r w:rsidRPr="00F22F32">
        <w:rPr>
          <w:rFonts w:asciiTheme="majorHAnsi" w:hAnsiTheme="majorHAnsi" w:cstheme="majorHAnsi"/>
          <w:b/>
          <w:bCs/>
          <w:sz w:val="20"/>
          <w:szCs w:val="20"/>
        </w:rPr>
        <w:t>More and better policy advice by the UN to the Government</w:t>
      </w:r>
    </w:p>
    <w:p w14:paraId="732125CF" w14:textId="02A88E2C" w:rsidR="00CC51E5" w:rsidRPr="00F22F32" w:rsidRDefault="00CC51E5" w:rsidP="00FF25CA">
      <w:pPr>
        <w:pStyle w:val="ListParagraph"/>
        <w:numPr>
          <w:ilvl w:val="0"/>
          <w:numId w:val="43"/>
        </w:numPr>
        <w:rPr>
          <w:rFonts w:asciiTheme="majorHAnsi" w:hAnsiTheme="majorHAnsi" w:cstheme="majorHAnsi"/>
          <w:b/>
          <w:bCs/>
          <w:sz w:val="20"/>
          <w:szCs w:val="20"/>
        </w:rPr>
      </w:pPr>
      <w:r w:rsidRPr="00F22F32">
        <w:rPr>
          <w:rFonts w:asciiTheme="majorHAnsi" w:hAnsiTheme="majorHAnsi" w:cstheme="majorHAnsi"/>
          <w:b/>
          <w:bCs/>
          <w:sz w:val="20"/>
          <w:szCs w:val="20"/>
        </w:rPr>
        <w:t>Communicating and advocating together</w:t>
      </w:r>
    </w:p>
    <w:p w14:paraId="1762E0F0" w14:textId="0EA6D01D" w:rsidR="00CC51E5" w:rsidRPr="00F22F32" w:rsidRDefault="00CC51E5" w:rsidP="00FF25CA">
      <w:pPr>
        <w:pStyle w:val="ListParagraph"/>
        <w:numPr>
          <w:ilvl w:val="0"/>
          <w:numId w:val="43"/>
        </w:numPr>
        <w:rPr>
          <w:rFonts w:asciiTheme="majorHAnsi" w:hAnsiTheme="majorHAnsi" w:cstheme="majorHAnsi"/>
          <w:b/>
          <w:bCs/>
          <w:sz w:val="20"/>
          <w:szCs w:val="20"/>
        </w:rPr>
      </w:pPr>
      <w:r w:rsidRPr="00F22F32">
        <w:rPr>
          <w:rFonts w:asciiTheme="majorHAnsi" w:hAnsiTheme="majorHAnsi" w:cstheme="majorHAnsi"/>
          <w:b/>
          <w:bCs/>
          <w:sz w:val="20"/>
          <w:szCs w:val="20"/>
        </w:rPr>
        <w:t xml:space="preserve">Implementation of the BOS </w:t>
      </w:r>
    </w:p>
    <w:p w14:paraId="707E2E29" w14:textId="0E1434E7" w:rsidR="00BA0A4E" w:rsidRPr="00F22F32" w:rsidRDefault="00BA0A4E" w:rsidP="009E7B7D">
      <w:pPr>
        <w:pStyle w:val="Heading3"/>
        <w:numPr>
          <w:ilvl w:val="1"/>
          <w:numId w:val="52"/>
        </w:numPr>
        <w:rPr>
          <w:rFonts w:cstheme="majorHAnsi"/>
          <w:i/>
          <w:iCs/>
          <w:color w:val="auto"/>
        </w:rPr>
      </w:pPr>
      <w:bookmarkStart w:id="26" w:name="_Toc71207081"/>
      <w:r w:rsidRPr="00F22F32">
        <w:rPr>
          <w:rFonts w:cstheme="majorHAnsi"/>
          <w:i/>
          <w:iCs/>
          <w:color w:val="auto"/>
        </w:rPr>
        <w:t>Evaluations and Lessons Learnt</w:t>
      </w:r>
      <w:bookmarkEnd w:id="26"/>
    </w:p>
    <w:p w14:paraId="56DFF881" w14:textId="77777777" w:rsidR="00C93719" w:rsidRPr="00F22F32" w:rsidRDefault="00C93719" w:rsidP="00C93719">
      <w:pPr>
        <w:ind w:firstLine="720"/>
        <w:jc w:val="both"/>
        <w:rPr>
          <w:rFonts w:asciiTheme="majorHAnsi" w:hAnsiTheme="majorHAnsi" w:cstheme="majorHAnsi"/>
          <w:sz w:val="20"/>
          <w:szCs w:val="20"/>
          <w:lang w:val="en-GB"/>
        </w:rPr>
      </w:pPr>
    </w:p>
    <w:p w14:paraId="4B21A893" w14:textId="617F7205" w:rsidR="00C93719" w:rsidRPr="00F22F32" w:rsidRDefault="00C93719" w:rsidP="00C93719">
      <w:pPr>
        <w:jc w:val="both"/>
        <w:rPr>
          <w:rFonts w:asciiTheme="majorHAnsi" w:hAnsiTheme="majorHAnsi" w:cstheme="majorHAnsi"/>
          <w:sz w:val="20"/>
          <w:szCs w:val="20"/>
          <w:lang w:val="en-GB"/>
        </w:rPr>
      </w:pPr>
      <w:r w:rsidRPr="00F22F32">
        <w:rPr>
          <w:rFonts w:asciiTheme="majorHAnsi" w:hAnsiTheme="majorHAnsi" w:cstheme="majorHAnsi"/>
          <w:sz w:val="20"/>
          <w:szCs w:val="20"/>
          <w:lang w:val="en-GB"/>
        </w:rPr>
        <w:t xml:space="preserve">In 2020-21 the UN has conducted the UNDAF evaluation aiming at </w:t>
      </w:r>
      <w:r w:rsidRPr="00F22F32">
        <w:rPr>
          <w:rFonts w:asciiTheme="majorHAnsi" w:hAnsiTheme="majorHAnsi" w:cstheme="majorHAnsi"/>
          <w:b/>
          <w:bCs/>
          <w:sz w:val="20"/>
          <w:szCs w:val="20"/>
          <w:lang w:val="en-GB"/>
        </w:rPr>
        <w:t xml:space="preserve">assessing progress made towards the results formulated </w:t>
      </w:r>
      <w:r w:rsidR="00C566AD" w:rsidRPr="00F22F32">
        <w:rPr>
          <w:rFonts w:asciiTheme="majorHAnsi" w:hAnsiTheme="majorHAnsi" w:cstheme="majorHAnsi"/>
          <w:sz w:val="20"/>
          <w:szCs w:val="20"/>
          <w:lang w:val="en-GB"/>
        </w:rPr>
        <w:t>and</w:t>
      </w:r>
      <w:r w:rsidRPr="00F22F32">
        <w:rPr>
          <w:rFonts w:asciiTheme="majorHAnsi" w:hAnsiTheme="majorHAnsi" w:cstheme="majorHAnsi"/>
          <w:sz w:val="20"/>
          <w:szCs w:val="20"/>
          <w:lang w:val="en-GB"/>
        </w:rPr>
        <w:t xml:space="preserve"> provide lessons and recommendations for the future programme and activities of the U</w:t>
      </w:r>
      <w:r w:rsidR="00FE73A6" w:rsidRPr="00F22F32">
        <w:rPr>
          <w:rFonts w:asciiTheme="majorHAnsi" w:hAnsiTheme="majorHAnsi" w:cstheme="majorHAnsi"/>
          <w:sz w:val="20"/>
          <w:szCs w:val="20"/>
          <w:lang w:val="en-GB"/>
        </w:rPr>
        <w:t>N</w:t>
      </w:r>
      <w:r w:rsidRPr="00F22F32">
        <w:rPr>
          <w:rFonts w:asciiTheme="majorHAnsi" w:hAnsiTheme="majorHAnsi" w:cstheme="majorHAnsi"/>
          <w:sz w:val="20"/>
          <w:szCs w:val="20"/>
          <w:lang w:val="en-GB"/>
        </w:rPr>
        <w:t xml:space="preserve"> in the country. The evaluation undertaken serves two main purposes: i) to support greater accountability of the UNCT to UNDAF stakeholders for the achievements and non-achievements of agreed results in support of the PQG; ii) to support greater learning and improve planning and decision-making. </w:t>
      </w:r>
      <w:r w:rsidR="00FE3603" w:rsidRPr="00F22F32">
        <w:rPr>
          <w:rFonts w:asciiTheme="majorHAnsi" w:hAnsiTheme="majorHAnsi" w:cstheme="majorHAnsi"/>
          <w:sz w:val="20"/>
          <w:szCs w:val="20"/>
          <w:lang w:val="en-GB"/>
        </w:rPr>
        <w:t xml:space="preserve">The evaluation used the </w:t>
      </w:r>
      <w:r w:rsidRPr="00F22F32">
        <w:rPr>
          <w:rFonts w:asciiTheme="majorHAnsi" w:hAnsiTheme="majorHAnsi" w:cstheme="majorHAnsi"/>
          <w:sz w:val="20"/>
          <w:szCs w:val="20"/>
          <w:lang w:val="en-GB"/>
        </w:rPr>
        <w:t>standard set of evaluation criteria across all UNDAF evaluation</w:t>
      </w:r>
      <w:r w:rsidR="00FE3603" w:rsidRPr="00F22F32">
        <w:rPr>
          <w:rFonts w:asciiTheme="majorHAnsi" w:hAnsiTheme="majorHAnsi" w:cstheme="majorHAnsi"/>
          <w:sz w:val="20"/>
          <w:szCs w:val="20"/>
          <w:lang w:val="en-GB"/>
        </w:rPr>
        <w:t xml:space="preserve">s, </w:t>
      </w:r>
      <w:r w:rsidRPr="00F22F32">
        <w:rPr>
          <w:rFonts w:asciiTheme="majorHAnsi" w:hAnsiTheme="majorHAnsi" w:cstheme="majorHAnsi"/>
          <w:sz w:val="20"/>
          <w:szCs w:val="20"/>
          <w:lang w:val="en-GB"/>
        </w:rPr>
        <w:t>namely Relevance, Effectiveness, Efficiency, Impact, Sustainability</w:t>
      </w:r>
      <w:r w:rsidR="00FE3603" w:rsidRPr="00F22F32">
        <w:rPr>
          <w:rFonts w:asciiTheme="majorHAnsi" w:hAnsiTheme="majorHAnsi" w:cstheme="majorHAnsi"/>
          <w:sz w:val="20"/>
          <w:szCs w:val="20"/>
          <w:lang w:val="en-GB"/>
        </w:rPr>
        <w:t xml:space="preserve">, </w:t>
      </w:r>
      <w:r w:rsidRPr="00F22F32">
        <w:rPr>
          <w:rFonts w:asciiTheme="majorHAnsi" w:hAnsiTheme="majorHAnsi" w:cstheme="majorHAnsi"/>
          <w:sz w:val="20"/>
          <w:szCs w:val="20"/>
          <w:lang w:val="en-GB"/>
        </w:rPr>
        <w:t>as well as aspects of Coordination and Coherence, and the Lessons learned.</w:t>
      </w:r>
      <w:r w:rsidR="00FE3603" w:rsidRPr="00F22F32">
        <w:rPr>
          <w:rFonts w:asciiTheme="majorHAnsi" w:hAnsiTheme="majorHAnsi" w:cstheme="majorHAnsi"/>
          <w:sz w:val="20"/>
          <w:szCs w:val="20"/>
          <w:lang w:val="en-GB"/>
        </w:rPr>
        <w:t xml:space="preserve"> </w:t>
      </w:r>
      <w:r w:rsidRPr="00F22F32">
        <w:rPr>
          <w:rFonts w:asciiTheme="majorHAnsi" w:hAnsiTheme="majorHAnsi" w:cstheme="majorHAnsi"/>
          <w:sz w:val="20"/>
          <w:szCs w:val="20"/>
          <w:lang w:val="en-GB"/>
        </w:rPr>
        <w:t xml:space="preserve">The main conclusions, lessons learned and recommendations, drawn from these findings, are as follow: </w:t>
      </w:r>
    </w:p>
    <w:p w14:paraId="654CEAE3" w14:textId="77777777" w:rsidR="00C93719" w:rsidRPr="00F22F32" w:rsidRDefault="00C93719" w:rsidP="00C93719">
      <w:pPr>
        <w:jc w:val="both"/>
        <w:rPr>
          <w:rFonts w:asciiTheme="majorHAnsi" w:hAnsiTheme="majorHAnsi" w:cstheme="majorHAnsi"/>
          <w:sz w:val="20"/>
          <w:szCs w:val="20"/>
          <w:lang w:val="en-GB"/>
        </w:rPr>
      </w:pPr>
    </w:p>
    <w:p w14:paraId="52DBFE59" w14:textId="77777777" w:rsidR="00C93719" w:rsidRPr="00F22F32" w:rsidRDefault="00C93719" w:rsidP="00C93719">
      <w:pPr>
        <w:jc w:val="both"/>
        <w:rPr>
          <w:rFonts w:asciiTheme="majorHAnsi" w:eastAsiaTheme="minorHAnsi" w:hAnsiTheme="majorHAnsi" w:cstheme="majorHAnsi"/>
          <w:sz w:val="20"/>
          <w:szCs w:val="20"/>
          <w:lang w:val="en-GB"/>
        </w:rPr>
      </w:pPr>
      <w:r w:rsidRPr="00F22F32">
        <w:rPr>
          <w:rFonts w:asciiTheme="majorHAnsi" w:hAnsiTheme="majorHAnsi" w:cstheme="majorHAnsi"/>
          <w:sz w:val="20"/>
          <w:szCs w:val="20"/>
          <w:lang w:val="en-GB"/>
        </w:rPr>
        <w:t>Relevance</w:t>
      </w:r>
    </w:p>
    <w:p w14:paraId="5CB98E26" w14:textId="64F6E11F" w:rsidR="00C93719" w:rsidRPr="00F22F32" w:rsidRDefault="00C93719" w:rsidP="00FF25CA">
      <w:pPr>
        <w:pStyle w:val="ListParagraph"/>
        <w:numPr>
          <w:ilvl w:val="0"/>
          <w:numId w:val="29"/>
        </w:numPr>
        <w:jc w:val="both"/>
        <w:rPr>
          <w:rFonts w:asciiTheme="majorHAnsi" w:hAnsiTheme="majorHAnsi" w:cstheme="majorHAnsi"/>
          <w:sz w:val="20"/>
          <w:szCs w:val="20"/>
          <w:lang w:val="en-GB"/>
        </w:rPr>
      </w:pPr>
      <w:r w:rsidRPr="00F22F32">
        <w:rPr>
          <w:rFonts w:asciiTheme="majorHAnsi" w:hAnsiTheme="majorHAnsi" w:cstheme="majorHAnsi"/>
          <w:sz w:val="20"/>
          <w:szCs w:val="20"/>
          <w:lang w:val="en-GB"/>
        </w:rPr>
        <w:t>The UNDAF is aligned to the Mozambican context of the time it was drafted and has developed a theory of change accordingly. It is not, however, aligned to all government priorities.</w:t>
      </w:r>
    </w:p>
    <w:p w14:paraId="558F1E45" w14:textId="52A86390" w:rsidR="00C93719" w:rsidRPr="00F22F32" w:rsidRDefault="00C93719" w:rsidP="00FF25CA">
      <w:pPr>
        <w:pStyle w:val="ListParagraph"/>
        <w:numPr>
          <w:ilvl w:val="0"/>
          <w:numId w:val="29"/>
        </w:numPr>
        <w:jc w:val="both"/>
        <w:rPr>
          <w:rFonts w:asciiTheme="majorHAnsi" w:hAnsiTheme="majorHAnsi" w:cstheme="majorHAnsi"/>
          <w:sz w:val="20"/>
          <w:szCs w:val="20"/>
          <w:lang w:val="en-GB"/>
        </w:rPr>
      </w:pPr>
      <w:r w:rsidRPr="00F22F32">
        <w:rPr>
          <w:rFonts w:asciiTheme="majorHAnsi" w:hAnsiTheme="majorHAnsi" w:cstheme="majorHAnsi"/>
          <w:sz w:val="20"/>
          <w:szCs w:val="20"/>
          <w:lang w:val="en-GB"/>
        </w:rPr>
        <w:t xml:space="preserve">A human rights-based approach and gender equity as well as the other programming principles were used to design the programme and make it more relevant. </w:t>
      </w:r>
    </w:p>
    <w:p w14:paraId="6E892E6E" w14:textId="7146035A" w:rsidR="00C93719" w:rsidRPr="00F22F32" w:rsidRDefault="00C93719" w:rsidP="00FF25CA">
      <w:pPr>
        <w:pStyle w:val="ListParagraph"/>
        <w:numPr>
          <w:ilvl w:val="0"/>
          <w:numId w:val="29"/>
        </w:numPr>
        <w:jc w:val="both"/>
        <w:rPr>
          <w:rFonts w:asciiTheme="majorHAnsi" w:hAnsiTheme="majorHAnsi" w:cstheme="majorHAnsi"/>
          <w:sz w:val="20"/>
          <w:szCs w:val="20"/>
          <w:lang w:val="en-GB"/>
        </w:rPr>
      </w:pPr>
      <w:r w:rsidRPr="00F22F32">
        <w:rPr>
          <w:rFonts w:asciiTheme="majorHAnsi" w:hAnsiTheme="majorHAnsi" w:cstheme="majorHAnsi"/>
          <w:sz w:val="20"/>
          <w:szCs w:val="20"/>
          <w:lang w:val="en-GB"/>
        </w:rPr>
        <w:t xml:space="preserve">The UNDAF structure is relatively broad and wide while at the same time the SDGs are not evident. </w:t>
      </w:r>
    </w:p>
    <w:p w14:paraId="1FC72B59" w14:textId="737D8592" w:rsidR="00C93719" w:rsidRPr="00F22F32" w:rsidRDefault="00C93719" w:rsidP="00FF25CA">
      <w:pPr>
        <w:pStyle w:val="ListParagraph"/>
        <w:numPr>
          <w:ilvl w:val="0"/>
          <w:numId w:val="29"/>
        </w:numPr>
        <w:jc w:val="both"/>
        <w:rPr>
          <w:rFonts w:asciiTheme="majorHAnsi" w:hAnsiTheme="majorHAnsi" w:cstheme="majorHAnsi"/>
          <w:sz w:val="20"/>
          <w:szCs w:val="20"/>
          <w:lang w:val="en-GB"/>
        </w:rPr>
      </w:pPr>
      <w:r w:rsidRPr="00F22F32">
        <w:rPr>
          <w:rFonts w:asciiTheme="majorHAnsi" w:hAnsiTheme="majorHAnsi" w:cstheme="majorHAnsi"/>
          <w:sz w:val="20"/>
          <w:szCs w:val="20"/>
          <w:lang w:val="en-GB"/>
        </w:rPr>
        <w:t xml:space="preserve">The UNDAF did not anticipate the extensive humanitarian crises that the country has been facing </w:t>
      </w:r>
      <w:r w:rsidR="001F484F" w:rsidRPr="00F22F32">
        <w:rPr>
          <w:rFonts w:asciiTheme="majorHAnsi" w:hAnsiTheme="majorHAnsi" w:cstheme="majorHAnsi"/>
          <w:sz w:val="20"/>
          <w:szCs w:val="20"/>
          <w:lang w:val="en-GB"/>
        </w:rPr>
        <w:t xml:space="preserve">in </w:t>
      </w:r>
      <w:r w:rsidRPr="00F22F32">
        <w:rPr>
          <w:rFonts w:asciiTheme="majorHAnsi" w:hAnsiTheme="majorHAnsi" w:cstheme="majorHAnsi"/>
          <w:sz w:val="20"/>
          <w:szCs w:val="20"/>
          <w:lang w:val="en-GB"/>
        </w:rPr>
        <w:t xml:space="preserve">recent years – cyclones, </w:t>
      </w:r>
      <w:r w:rsidR="00106793" w:rsidRPr="00F22F32">
        <w:rPr>
          <w:rFonts w:asciiTheme="majorHAnsi" w:hAnsiTheme="majorHAnsi" w:cstheme="majorHAnsi"/>
          <w:sz w:val="20"/>
          <w:szCs w:val="20"/>
          <w:lang w:val="en-GB"/>
        </w:rPr>
        <w:t>violence,</w:t>
      </w:r>
      <w:r w:rsidRPr="00F22F32">
        <w:rPr>
          <w:rFonts w:asciiTheme="majorHAnsi" w:hAnsiTheme="majorHAnsi" w:cstheme="majorHAnsi"/>
          <w:sz w:val="20"/>
          <w:szCs w:val="20"/>
          <w:lang w:val="en-GB"/>
        </w:rPr>
        <w:t xml:space="preserve"> and displacement – as well as the cuts of international donor support as a reaction to the hidden-debt scandal. In both cases, the UN </w:t>
      </w:r>
      <w:r w:rsidR="00106793" w:rsidRPr="00F22F32">
        <w:rPr>
          <w:rFonts w:asciiTheme="majorHAnsi" w:hAnsiTheme="majorHAnsi" w:cstheme="majorHAnsi"/>
          <w:sz w:val="20"/>
          <w:szCs w:val="20"/>
          <w:lang w:val="en-GB"/>
        </w:rPr>
        <w:t>could respond</w:t>
      </w:r>
      <w:r w:rsidRPr="00F22F32">
        <w:rPr>
          <w:rFonts w:asciiTheme="majorHAnsi" w:hAnsiTheme="majorHAnsi" w:cstheme="majorHAnsi"/>
          <w:sz w:val="20"/>
          <w:szCs w:val="20"/>
          <w:lang w:val="en-GB"/>
        </w:rPr>
        <w:t xml:space="preserve"> effectively.  </w:t>
      </w:r>
    </w:p>
    <w:p w14:paraId="65924DCC" w14:textId="77777777" w:rsidR="00C93719" w:rsidRPr="00F22F32" w:rsidRDefault="00C93719" w:rsidP="00C93719">
      <w:pPr>
        <w:jc w:val="both"/>
        <w:rPr>
          <w:rFonts w:asciiTheme="majorHAnsi" w:hAnsiTheme="majorHAnsi" w:cstheme="majorHAnsi"/>
          <w:sz w:val="20"/>
          <w:szCs w:val="20"/>
          <w:lang w:val="en-GB"/>
        </w:rPr>
      </w:pPr>
      <w:r w:rsidRPr="00F22F32">
        <w:rPr>
          <w:rFonts w:asciiTheme="majorHAnsi" w:hAnsiTheme="majorHAnsi" w:cstheme="majorHAnsi"/>
          <w:sz w:val="20"/>
          <w:szCs w:val="20"/>
          <w:lang w:val="en-GB"/>
        </w:rPr>
        <w:t>Effectiveness</w:t>
      </w:r>
    </w:p>
    <w:p w14:paraId="38BF83F8" w14:textId="6B4B655F" w:rsidR="00C93719" w:rsidRPr="00F22F32" w:rsidRDefault="00C93719" w:rsidP="00FF25CA">
      <w:pPr>
        <w:pStyle w:val="ListParagraph"/>
        <w:numPr>
          <w:ilvl w:val="0"/>
          <w:numId w:val="30"/>
        </w:numPr>
        <w:jc w:val="both"/>
        <w:rPr>
          <w:rFonts w:asciiTheme="majorHAnsi" w:hAnsiTheme="majorHAnsi" w:cstheme="majorHAnsi"/>
          <w:sz w:val="20"/>
          <w:szCs w:val="20"/>
          <w:lang w:val="en-GB"/>
        </w:rPr>
      </w:pPr>
      <w:r w:rsidRPr="00F22F32">
        <w:rPr>
          <w:rFonts w:asciiTheme="majorHAnsi" w:hAnsiTheme="majorHAnsi" w:cstheme="majorHAnsi"/>
          <w:sz w:val="20"/>
          <w:szCs w:val="20"/>
          <w:lang w:val="en-GB"/>
        </w:rPr>
        <w:t xml:space="preserve">Budget execution is low, around 57%, with some Outcomes performing much better than others and only Outcome 3 (Gender) has fully executed and almost doubled (194%) the projected budget. In terms of budget execution performance, Outcome 3 performance is followed by Outcome 9, on Natural Resources management (89%), Outcome 7 on Youth (74%), and Outcome 5, on Social Protection (60%). Outcome 2 </w:t>
      </w:r>
      <w:r w:rsidRPr="00F22F32">
        <w:rPr>
          <w:rFonts w:asciiTheme="majorHAnsi" w:hAnsiTheme="majorHAnsi" w:cstheme="majorHAnsi"/>
          <w:sz w:val="20"/>
          <w:szCs w:val="20"/>
          <w:lang w:val="en-GB"/>
        </w:rPr>
        <w:lastRenderedPageBreak/>
        <w:t>(Economic Transformation) and Outcome 10 (Resilience) were the outcomes that performed worse in terms of budget execution with 39% and 33% respectively.</w:t>
      </w:r>
    </w:p>
    <w:p w14:paraId="26369A69" w14:textId="2D64E462" w:rsidR="00C93719" w:rsidRPr="00F22F32" w:rsidRDefault="00C93719" w:rsidP="00FF25CA">
      <w:pPr>
        <w:pStyle w:val="ListParagraph"/>
        <w:numPr>
          <w:ilvl w:val="0"/>
          <w:numId w:val="30"/>
        </w:numPr>
        <w:jc w:val="both"/>
        <w:rPr>
          <w:rFonts w:asciiTheme="majorHAnsi" w:hAnsiTheme="majorHAnsi" w:cstheme="majorHAnsi"/>
          <w:sz w:val="20"/>
          <w:szCs w:val="20"/>
          <w:lang w:val="en-GB"/>
        </w:rPr>
      </w:pPr>
      <w:r w:rsidRPr="00F22F32">
        <w:rPr>
          <w:rFonts w:asciiTheme="majorHAnsi" w:hAnsiTheme="majorHAnsi" w:cstheme="majorHAnsi"/>
          <w:sz w:val="20"/>
          <w:szCs w:val="20"/>
          <w:lang w:val="en-GB"/>
        </w:rPr>
        <w:t xml:space="preserve">The UNDAF was able to adapt to quick changes and still perform and manage additional resources provided for the emergencies (but not budgeted in the UNDAF). </w:t>
      </w:r>
      <w:r w:rsidRPr="00F22F32">
        <w:rPr>
          <w:rFonts w:asciiTheme="majorHAnsi" w:hAnsiTheme="majorHAnsi" w:cstheme="majorHAnsi"/>
          <w:sz w:val="20"/>
          <w:szCs w:val="20"/>
          <w:lang w:val="en-GB"/>
        </w:rPr>
        <w:tab/>
      </w:r>
    </w:p>
    <w:p w14:paraId="667AC04A" w14:textId="77777777" w:rsidR="00C93719" w:rsidRPr="00F22F32" w:rsidRDefault="00C93719" w:rsidP="00C93719">
      <w:pPr>
        <w:jc w:val="both"/>
        <w:rPr>
          <w:rFonts w:asciiTheme="majorHAnsi" w:eastAsiaTheme="minorHAnsi" w:hAnsiTheme="majorHAnsi" w:cstheme="majorHAnsi"/>
          <w:sz w:val="20"/>
          <w:szCs w:val="20"/>
          <w:lang w:val="en-GB"/>
        </w:rPr>
      </w:pPr>
      <w:r w:rsidRPr="00F22F32">
        <w:rPr>
          <w:rFonts w:asciiTheme="majorHAnsi" w:hAnsiTheme="majorHAnsi" w:cstheme="majorHAnsi"/>
          <w:sz w:val="20"/>
          <w:szCs w:val="20"/>
          <w:lang w:val="en-GB"/>
        </w:rPr>
        <w:t>Efficiency</w:t>
      </w:r>
    </w:p>
    <w:p w14:paraId="0E2FC8DA" w14:textId="5CE9B637" w:rsidR="00C93719" w:rsidRPr="00F22F32" w:rsidRDefault="00C93719" w:rsidP="00FF25CA">
      <w:pPr>
        <w:pStyle w:val="ListParagraph"/>
        <w:numPr>
          <w:ilvl w:val="0"/>
          <w:numId w:val="31"/>
        </w:numPr>
        <w:jc w:val="both"/>
        <w:rPr>
          <w:rFonts w:asciiTheme="majorHAnsi" w:hAnsiTheme="majorHAnsi" w:cstheme="majorHAnsi"/>
          <w:sz w:val="20"/>
          <w:szCs w:val="20"/>
          <w:lang w:val="en-GB"/>
        </w:rPr>
      </w:pPr>
      <w:r w:rsidRPr="00F22F32">
        <w:rPr>
          <w:rFonts w:asciiTheme="majorHAnsi" w:hAnsiTheme="majorHAnsi" w:cstheme="majorHAnsi"/>
          <w:sz w:val="20"/>
          <w:szCs w:val="20"/>
          <w:lang w:val="en-GB"/>
        </w:rPr>
        <w:t xml:space="preserve">Efficiency was affected by changes, crises and namely by the absence of an appointed RCO for around nine months. But while the activities ‘on the ground’ were generally affected by the multiple crises, the normative work continued. </w:t>
      </w:r>
    </w:p>
    <w:p w14:paraId="5A39113C" w14:textId="51C55C3D" w:rsidR="00C93719" w:rsidRPr="00F22F32" w:rsidRDefault="00C93719" w:rsidP="00FF25CA">
      <w:pPr>
        <w:pStyle w:val="ListParagraph"/>
        <w:numPr>
          <w:ilvl w:val="0"/>
          <w:numId w:val="31"/>
        </w:numPr>
        <w:jc w:val="both"/>
        <w:rPr>
          <w:rFonts w:asciiTheme="majorHAnsi" w:hAnsiTheme="majorHAnsi" w:cstheme="majorHAnsi"/>
          <w:sz w:val="20"/>
          <w:szCs w:val="20"/>
          <w:lang w:val="en-GB"/>
        </w:rPr>
      </w:pPr>
      <w:r w:rsidRPr="00F22F32">
        <w:rPr>
          <w:rFonts w:asciiTheme="majorHAnsi" w:hAnsiTheme="majorHAnsi" w:cstheme="majorHAnsi"/>
          <w:sz w:val="20"/>
          <w:szCs w:val="20"/>
          <w:lang w:val="en-GB"/>
        </w:rPr>
        <w:t xml:space="preserve">UN programming principles were considered and mainstreamed in the chain of results and the harmonisation measures at the operational level contributed to improved efficiency and results.  </w:t>
      </w:r>
    </w:p>
    <w:p w14:paraId="5A5713EC" w14:textId="650AA066" w:rsidR="00C93719" w:rsidRPr="00F22F32" w:rsidRDefault="00C93719" w:rsidP="00FF25CA">
      <w:pPr>
        <w:pStyle w:val="ListParagraph"/>
        <w:numPr>
          <w:ilvl w:val="0"/>
          <w:numId w:val="31"/>
        </w:numPr>
        <w:jc w:val="both"/>
        <w:rPr>
          <w:rFonts w:asciiTheme="majorHAnsi" w:hAnsiTheme="majorHAnsi" w:cstheme="majorHAnsi"/>
          <w:sz w:val="20"/>
          <w:szCs w:val="20"/>
          <w:lang w:val="en-GB"/>
        </w:rPr>
      </w:pPr>
      <w:r w:rsidRPr="00F22F32">
        <w:rPr>
          <w:rFonts w:asciiTheme="majorHAnsi" w:hAnsiTheme="majorHAnsi" w:cstheme="majorHAnsi"/>
          <w:sz w:val="20"/>
          <w:szCs w:val="20"/>
          <w:lang w:val="en-GB"/>
        </w:rPr>
        <w:t xml:space="preserve">Bureaucracy and administrative procedures still have negative effects in the implementation of the UNDAF. </w:t>
      </w:r>
    </w:p>
    <w:p w14:paraId="59A41881" w14:textId="00489550" w:rsidR="00C93719" w:rsidRPr="00F22F32" w:rsidRDefault="00C93719" w:rsidP="00FF25CA">
      <w:pPr>
        <w:pStyle w:val="ListParagraph"/>
        <w:numPr>
          <w:ilvl w:val="0"/>
          <w:numId w:val="31"/>
        </w:numPr>
        <w:jc w:val="both"/>
        <w:rPr>
          <w:rFonts w:asciiTheme="majorHAnsi" w:hAnsiTheme="majorHAnsi" w:cstheme="majorHAnsi"/>
          <w:sz w:val="20"/>
          <w:szCs w:val="20"/>
          <w:lang w:val="en-GB"/>
        </w:rPr>
      </w:pPr>
      <w:r w:rsidRPr="00F22F32">
        <w:rPr>
          <w:rFonts w:asciiTheme="majorHAnsi" w:hAnsiTheme="majorHAnsi" w:cstheme="majorHAnsi"/>
          <w:sz w:val="20"/>
          <w:szCs w:val="20"/>
          <w:lang w:val="en-GB"/>
        </w:rPr>
        <w:t xml:space="preserve">The resources allocated were generally adequate and extra funding was even received (although the latter was used specifically for emergency work). </w:t>
      </w:r>
    </w:p>
    <w:p w14:paraId="2CA89426" w14:textId="77777777" w:rsidR="00C93719" w:rsidRPr="00F22F32" w:rsidRDefault="00C93719" w:rsidP="00C93719">
      <w:pPr>
        <w:jc w:val="both"/>
        <w:rPr>
          <w:rFonts w:asciiTheme="majorHAnsi" w:eastAsiaTheme="minorHAnsi" w:hAnsiTheme="majorHAnsi" w:cstheme="majorHAnsi"/>
          <w:sz w:val="20"/>
          <w:szCs w:val="20"/>
          <w:lang w:val="en-GB"/>
        </w:rPr>
      </w:pPr>
      <w:r w:rsidRPr="00F22F32">
        <w:rPr>
          <w:rFonts w:asciiTheme="majorHAnsi" w:hAnsiTheme="majorHAnsi" w:cstheme="majorHAnsi"/>
          <w:sz w:val="20"/>
          <w:szCs w:val="20"/>
          <w:lang w:val="en-GB"/>
        </w:rPr>
        <w:t>Impact</w:t>
      </w:r>
    </w:p>
    <w:p w14:paraId="5A484C0C" w14:textId="6F5833D7" w:rsidR="00C93719" w:rsidRPr="00F22F32" w:rsidRDefault="00C93719" w:rsidP="00FF25CA">
      <w:pPr>
        <w:pStyle w:val="ListParagraph"/>
        <w:numPr>
          <w:ilvl w:val="0"/>
          <w:numId w:val="38"/>
        </w:numPr>
        <w:jc w:val="both"/>
        <w:rPr>
          <w:rFonts w:asciiTheme="majorHAnsi" w:hAnsiTheme="majorHAnsi" w:cstheme="majorHAnsi"/>
          <w:sz w:val="20"/>
          <w:szCs w:val="20"/>
          <w:lang w:val="en-GB"/>
        </w:rPr>
      </w:pPr>
      <w:r w:rsidRPr="00F22F32">
        <w:rPr>
          <w:rFonts w:asciiTheme="majorHAnsi" w:hAnsiTheme="majorHAnsi" w:cstheme="majorHAnsi"/>
          <w:sz w:val="20"/>
          <w:szCs w:val="20"/>
          <w:lang w:val="en-GB"/>
        </w:rPr>
        <w:t xml:space="preserve">Direct impact in emergency work is highly recognised by the partners. </w:t>
      </w:r>
    </w:p>
    <w:p w14:paraId="229A44D3" w14:textId="30BEC8BD" w:rsidR="00C93719" w:rsidRPr="00F22F32" w:rsidRDefault="00C93719" w:rsidP="00FF25CA">
      <w:pPr>
        <w:pStyle w:val="ListParagraph"/>
        <w:numPr>
          <w:ilvl w:val="0"/>
          <w:numId w:val="38"/>
        </w:numPr>
        <w:jc w:val="both"/>
        <w:rPr>
          <w:rFonts w:asciiTheme="majorHAnsi" w:hAnsiTheme="majorHAnsi" w:cstheme="majorHAnsi"/>
          <w:sz w:val="20"/>
          <w:szCs w:val="20"/>
          <w:lang w:val="en-GB"/>
        </w:rPr>
      </w:pPr>
      <w:r w:rsidRPr="00F22F32">
        <w:rPr>
          <w:rFonts w:asciiTheme="majorHAnsi" w:hAnsiTheme="majorHAnsi" w:cstheme="majorHAnsi"/>
          <w:sz w:val="20"/>
          <w:szCs w:val="20"/>
          <w:lang w:val="en-GB"/>
        </w:rPr>
        <w:t xml:space="preserve">For the period 2017-2021, impact directly resulting from the activities planned in the UNDAF is foreseen to be reduced given the important disturbances and constraints brought by the several crises.    </w:t>
      </w:r>
      <w:r w:rsidRPr="00F22F32">
        <w:rPr>
          <w:rFonts w:asciiTheme="majorHAnsi" w:hAnsiTheme="majorHAnsi" w:cstheme="majorHAnsi"/>
          <w:sz w:val="20"/>
          <w:szCs w:val="20"/>
          <w:lang w:val="en-GB"/>
        </w:rPr>
        <w:tab/>
      </w:r>
    </w:p>
    <w:p w14:paraId="5A7FA817" w14:textId="77777777" w:rsidR="00C93719" w:rsidRPr="00F22F32" w:rsidRDefault="00C93719" w:rsidP="00C93719">
      <w:pPr>
        <w:jc w:val="both"/>
        <w:rPr>
          <w:rFonts w:asciiTheme="majorHAnsi" w:eastAsiaTheme="minorHAnsi" w:hAnsiTheme="majorHAnsi" w:cstheme="majorHAnsi"/>
          <w:sz w:val="20"/>
          <w:szCs w:val="20"/>
          <w:lang w:val="en-GB"/>
        </w:rPr>
      </w:pPr>
      <w:r w:rsidRPr="00F22F32">
        <w:rPr>
          <w:rFonts w:asciiTheme="majorHAnsi" w:hAnsiTheme="majorHAnsi" w:cstheme="majorHAnsi"/>
          <w:sz w:val="20"/>
          <w:szCs w:val="20"/>
          <w:lang w:val="en-GB"/>
        </w:rPr>
        <w:t>Sustainability</w:t>
      </w:r>
    </w:p>
    <w:p w14:paraId="6E6055B1" w14:textId="04F12CC5" w:rsidR="00C93719" w:rsidRPr="00F22F32" w:rsidRDefault="00C93719" w:rsidP="00FF25CA">
      <w:pPr>
        <w:pStyle w:val="ListParagraph"/>
        <w:numPr>
          <w:ilvl w:val="0"/>
          <w:numId w:val="32"/>
        </w:numPr>
        <w:jc w:val="both"/>
        <w:rPr>
          <w:rFonts w:asciiTheme="majorHAnsi" w:hAnsiTheme="majorHAnsi" w:cstheme="majorHAnsi"/>
          <w:sz w:val="20"/>
          <w:szCs w:val="20"/>
          <w:lang w:val="en-GB"/>
        </w:rPr>
      </w:pPr>
      <w:r w:rsidRPr="00F22F32">
        <w:rPr>
          <w:rFonts w:asciiTheme="majorHAnsi" w:hAnsiTheme="majorHAnsi" w:cstheme="majorHAnsi"/>
          <w:sz w:val="20"/>
          <w:szCs w:val="20"/>
          <w:lang w:val="en-GB"/>
        </w:rPr>
        <w:t xml:space="preserve">Sustainability of the results was not sufficiently clear in the design of the UNDAF, although recurrently mentioned as an objective.  </w:t>
      </w:r>
      <w:r w:rsidRPr="00F22F32">
        <w:rPr>
          <w:rFonts w:asciiTheme="majorHAnsi" w:hAnsiTheme="majorHAnsi" w:cstheme="majorHAnsi"/>
          <w:sz w:val="20"/>
          <w:szCs w:val="20"/>
          <w:lang w:val="en-GB"/>
        </w:rPr>
        <w:tab/>
      </w:r>
    </w:p>
    <w:p w14:paraId="00C45141" w14:textId="67E79262" w:rsidR="00C93719" w:rsidRPr="00F22F32" w:rsidRDefault="00C93719" w:rsidP="00FF25CA">
      <w:pPr>
        <w:pStyle w:val="ListParagraph"/>
        <w:numPr>
          <w:ilvl w:val="0"/>
          <w:numId w:val="32"/>
        </w:numPr>
        <w:jc w:val="both"/>
        <w:rPr>
          <w:rFonts w:asciiTheme="majorHAnsi" w:hAnsiTheme="majorHAnsi" w:cstheme="majorHAnsi"/>
          <w:sz w:val="20"/>
          <w:szCs w:val="20"/>
          <w:lang w:val="en-GB"/>
        </w:rPr>
      </w:pPr>
      <w:r w:rsidRPr="00F22F32">
        <w:rPr>
          <w:rFonts w:asciiTheme="majorHAnsi" w:hAnsiTheme="majorHAnsi" w:cstheme="majorHAnsi"/>
          <w:sz w:val="20"/>
          <w:szCs w:val="20"/>
          <w:lang w:val="en-GB"/>
        </w:rPr>
        <w:t xml:space="preserve">The weight of the efforts in emergency work compromised sustainability. </w:t>
      </w:r>
    </w:p>
    <w:p w14:paraId="066DD819" w14:textId="25FB9639" w:rsidR="00C93719" w:rsidRPr="00F22F32" w:rsidRDefault="00C93719" w:rsidP="00FF25CA">
      <w:pPr>
        <w:pStyle w:val="ListParagraph"/>
        <w:numPr>
          <w:ilvl w:val="0"/>
          <w:numId w:val="32"/>
        </w:numPr>
        <w:jc w:val="both"/>
        <w:rPr>
          <w:rFonts w:asciiTheme="majorHAnsi" w:hAnsiTheme="majorHAnsi" w:cstheme="majorHAnsi"/>
          <w:sz w:val="20"/>
          <w:szCs w:val="20"/>
          <w:lang w:val="en-GB"/>
        </w:rPr>
      </w:pPr>
      <w:r w:rsidRPr="00F22F32">
        <w:rPr>
          <w:rFonts w:asciiTheme="majorHAnsi" w:hAnsiTheme="majorHAnsi" w:cstheme="majorHAnsi"/>
          <w:sz w:val="20"/>
          <w:szCs w:val="20"/>
          <w:lang w:val="en-GB"/>
        </w:rPr>
        <w:t>The continuous decrease in government budget allocations to social areas can put the sustainability of large investments done by the UN</w:t>
      </w:r>
      <w:r w:rsidR="0060520D" w:rsidRPr="00F22F32">
        <w:rPr>
          <w:rFonts w:asciiTheme="majorHAnsi" w:hAnsiTheme="majorHAnsi" w:cstheme="majorHAnsi"/>
          <w:sz w:val="20"/>
          <w:szCs w:val="20"/>
          <w:lang w:val="en-GB"/>
        </w:rPr>
        <w:t xml:space="preserve"> at risk</w:t>
      </w:r>
      <w:r w:rsidRPr="00F22F32">
        <w:rPr>
          <w:rFonts w:asciiTheme="majorHAnsi" w:hAnsiTheme="majorHAnsi" w:cstheme="majorHAnsi"/>
          <w:sz w:val="20"/>
          <w:szCs w:val="20"/>
          <w:lang w:val="en-GB"/>
        </w:rPr>
        <w:t xml:space="preserve">. </w:t>
      </w:r>
    </w:p>
    <w:p w14:paraId="2F36DC2D" w14:textId="77777777" w:rsidR="00C93719" w:rsidRPr="00F22F32" w:rsidRDefault="00C93719" w:rsidP="00C93719">
      <w:pPr>
        <w:jc w:val="both"/>
        <w:rPr>
          <w:rFonts w:asciiTheme="majorHAnsi" w:eastAsiaTheme="minorHAnsi" w:hAnsiTheme="majorHAnsi" w:cstheme="majorHAnsi"/>
          <w:sz w:val="20"/>
          <w:szCs w:val="20"/>
          <w:lang w:val="en-GB"/>
        </w:rPr>
      </w:pPr>
      <w:r w:rsidRPr="00F22F32">
        <w:rPr>
          <w:rFonts w:asciiTheme="majorHAnsi" w:hAnsiTheme="majorHAnsi" w:cstheme="majorHAnsi"/>
          <w:sz w:val="20"/>
          <w:szCs w:val="20"/>
          <w:lang w:val="en-GB"/>
        </w:rPr>
        <w:t xml:space="preserve">Coordination </w:t>
      </w:r>
    </w:p>
    <w:p w14:paraId="66A98802" w14:textId="1B45F3A5" w:rsidR="00C93719" w:rsidRPr="00F22F32" w:rsidRDefault="00C93719" w:rsidP="00FF25CA">
      <w:pPr>
        <w:pStyle w:val="ListParagraph"/>
        <w:numPr>
          <w:ilvl w:val="0"/>
          <w:numId w:val="33"/>
        </w:numPr>
        <w:jc w:val="both"/>
        <w:rPr>
          <w:rFonts w:asciiTheme="majorHAnsi" w:hAnsiTheme="majorHAnsi" w:cstheme="majorHAnsi"/>
          <w:sz w:val="20"/>
          <w:szCs w:val="20"/>
          <w:lang w:val="en-GB"/>
        </w:rPr>
      </w:pPr>
      <w:r w:rsidRPr="00F22F32">
        <w:rPr>
          <w:rFonts w:asciiTheme="majorHAnsi" w:hAnsiTheme="majorHAnsi" w:cstheme="majorHAnsi"/>
          <w:sz w:val="20"/>
          <w:szCs w:val="20"/>
          <w:lang w:val="en-GB"/>
        </w:rPr>
        <w:t>The Delivering as One (DaO) approach to Mozambican development was consolidated throughout the programme, particularly through the joint activities targeted at emergencies that brought closer the joint work.</w:t>
      </w:r>
    </w:p>
    <w:p w14:paraId="10D39084" w14:textId="6880F8AD" w:rsidR="00C93719" w:rsidRPr="00F22F32" w:rsidRDefault="00903117" w:rsidP="00FF25CA">
      <w:pPr>
        <w:pStyle w:val="ListParagraph"/>
        <w:numPr>
          <w:ilvl w:val="0"/>
          <w:numId w:val="33"/>
        </w:numPr>
        <w:jc w:val="both"/>
        <w:rPr>
          <w:rFonts w:asciiTheme="majorHAnsi" w:hAnsiTheme="majorHAnsi" w:cstheme="majorHAnsi"/>
          <w:sz w:val="20"/>
          <w:szCs w:val="20"/>
          <w:lang w:val="en-GB"/>
        </w:rPr>
      </w:pPr>
      <w:r w:rsidRPr="00F22F32">
        <w:rPr>
          <w:rFonts w:asciiTheme="majorHAnsi" w:hAnsiTheme="majorHAnsi" w:cstheme="majorHAnsi"/>
          <w:sz w:val="20"/>
          <w:szCs w:val="20"/>
          <w:lang w:val="en-GB"/>
        </w:rPr>
        <w:t>Mechanisms</w:t>
      </w:r>
      <w:r w:rsidR="00C93719" w:rsidRPr="00F22F32">
        <w:rPr>
          <w:rFonts w:asciiTheme="majorHAnsi" w:hAnsiTheme="majorHAnsi" w:cstheme="majorHAnsi"/>
          <w:sz w:val="20"/>
          <w:szCs w:val="20"/>
          <w:lang w:val="en-GB"/>
        </w:rPr>
        <w:t xml:space="preserve"> and systems have helped improving coordination, such as the UNINFO system but also the process of preparation of the UNDAF. </w:t>
      </w:r>
    </w:p>
    <w:p w14:paraId="1F5BDEFD" w14:textId="77777777" w:rsidR="00C93719" w:rsidRPr="00F22F32" w:rsidRDefault="00C93719" w:rsidP="00C93719">
      <w:pPr>
        <w:jc w:val="both"/>
        <w:rPr>
          <w:rFonts w:asciiTheme="majorHAnsi" w:hAnsiTheme="majorHAnsi" w:cstheme="majorHAnsi"/>
          <w:sz w:val="20"/>
          <w:szCs w:val="20"/>
          <w:lang w:val="en-GB"/>
        </w:rPr>
      </w:pPr>
    </w:p>
    <w:p w14:paraId="22864AE1" w14:textId="77777777" w:rsidR="00C93719" w:rsidRPr="00F22F32" w:rsidRDefault="00C93719" w:rsidP="00C93719">
      <w:pPr>
        <w:jc w:val="both"/>
        <w:rPr>
          <w:rFonts w:asciiTheme="majorHAnsi" w:eastAsiaTheme="minorHAnsi" w:hAnsiTheme="majorHAnsi" w:cstheme="majorHAnsi"/>
          <w:sz w:val="20"/>
          <w:szCs w:val="20"/>
          <w:lang w:val="en-GB"/>
        </w:rPr>
      </w:pPr>
      <w:r w:rsidRPr="00F22F32">
        <w:rPr>
          <w:rFonts w:asciiTheme="majorHAnsi" w:hAnsiTheme="majorHAnsi" w:cstheme="majorHAnsi"/>
          <w:sz w:val="20"/>
          <w:szCs w:val="20"/>
          <w:lang w:val="en-GB"/>
        </w:rPr>
        <w:t>Coherence</w:t>
      </w:r>
    </w:p>
    <w:p w14:paraId="14F371B5" w14:textId="21F4DD40" w:rsidR="00C93719" w:rsidRPr="00F22F32" w:rsidRDefault="00C93719" w:rsidP="00FF25CA">
      <w:pPr>
        <w:pStyle w:val="ListParagraph"/>
        <w:numPr>
          <w:ilvl w:val="0"/>
          <w:numId w:val="34"/>
        </w:numPr>
        <w:jc w:val="both"/>
        <w:rPr>
          <w:rFonts w:asciiTheme="majorHAnsi" w:hAnsiTheme="majorHAnsi" w:cstheme="majorHAnsi"/>
          <w:sz w:val="20"/>
          <w:szCs w:val="20"/>
          <w:lang w:val="en-GB"/>
        </w:rPr>
      </w:pPr>
      <w:r w:rsidRPr="00F22F32">
        <w:rPr>
          <w:rFonts w:asciiTheme="majorHAnsi" w:hAnsiTheme="majorHAnsi" w:cstheme="majorHAnsi"/>
          <w:sz w:val="20"/>
          <w:szCs w:val="20"/>
          <w:lang w:val="en-GB"/>
        </w:rPr>
        <w:t xml:space="preserve">The participation of agencies in thematic Working Groups with multiple national and international partners provides the opportunity for improved coherence and alignment to development work in the country. </w:t>
      </w:r>
    </w:p>
    <w:p w14:paraId="5A5DE9AB" w14:textId="04061E1C" w:rsidR="00C93719" w:rsidRPr="00F22F32" w:rsidRDefault="00C93719" w:rsidP="00FF25CA">
      <w:pPr>
        <w:pStyle w:val="ListParagraph"/>
        <w:numPr>
          <w:ilvl w:val="0"/>
          <w:numId w:val="34"/>
        </w:numPr>
        <w:jc w:val="both"/>
        <w:rPr>
          <w:rFonts w:asciiTheme="majorHAnsi" w:hAnsiTheme="majorHAnsi" w:cstheme="majorHAnsi"/>
          <w:sz w:val="20"/>
          <w:szCs w:val="20"/>
          <w:lang w:val="en-GB"/>
        </w:rPr>
      </w:pPr>
      <w:r w:rsidRPr="00F22F32">
        <w:rPr>
          <w:rFonts w:asciiTheme="majorHAnsi" w:hAnsiTheme="majorHAnsi" w:cstheme="majorHAnsi"/>
          <w:sz w:val="20"/>
          <w:szCs w:val="20"/>
          <w:lang w:val="en-GB"/>
        </w:rPr>
        <w:t xml:space="preserve">UNDAF alignment to all government priorities is not always visible. </w:t>
      </w:r>
    </w:p>
    <w:p w14:paraId="27966304" w14:textId="77777777" w:rsidR="00C93719" w:rsidRPr="00F22F32" w:rsidRDefault="00C93719" w:rsidP="00C93719">
      <w:pPr>
        <w:jc w:val="both"/>
        <w:rPr>
          <w:rFonts w:asciiTheme="majorHAnsi" w:hAnsiTheme="majorHAnsi" w:cstheme="majorHAnsi"/>
          <w:sz w:val="20"/>
          <w:szCs w:val="20"/>
          <w:lang w:val="en-GB"/>
        </w:rPr>
      </w:pPr>
      <w:r w:rsidRPr="00F22F32">
        <w:rPr>
          <w:rFonts w:asciiTheme="majorHAnsi" w:hAnsiTheme="majorHAnsi" w:cstheme="majorHAnsi"/>
          <w:sz w:val="20"/>
          <w:szCs w:val="20"/>
          <w:lang w:val="en-GB"/>
        </w:rPr>
        <w:t xml:space="preserve">The analysis and recommendations of the evaluation are expected to inform the formulation of the new UNSDCF (UN Sustainable Development Country Framework), the ‘new generation’ of UNDAF programming. </w:t>
      </w:r>
    </w:p>
    <w:p w14:paraId="4F614A39" w14:textId="77777777" w:rsidR="00C93719" w:rsidRPr="00F22F32" w:rsidRDefault="00C93719" w:rsidP="00C93719">
      <w:pPr>
        <w:jc w:val="both"/>
        <w:rPr>
          <w:rFonts w:asciiTheme="majorHAnsi" w:hAnsiTheme="majorHAnsi" w:cstheme="majorHAnsi"/>
          <w:sz w:val="20"/>
          <w:szCs w:val="20"/>
          <w:lang w:val="en-GB"/>
        </w:rPr>
      </w:pPr>
    </w:p>
    <w:p w14:paraId="62694845" w14:textId="77777777" w:rsidR="00C93719" w:rsidRPr="00F22F32" w:rsidRDefault="00C93719" w:rsidP="00C93719">
      <w:pPr>
        <w:jc w:val="both"/>
        <w:rPr>
          <w:rFonts w:asciiTheme="majorHAnsi" w:eastAsiaTheme="minorHAnsi" w:hAnsiTheme="majorHAnsi" w:cstheme="majorHAnsi"/>
          <w:sz w:val="20"/>
          <w:szCs w:val="20"/>
          <w:lang w:val="en-GB"/>
        </w:rPr>
      </w:pPr>
      <w:r w:rsidRPr="00F22F32">
        <w:rPr>
          <w:rFonts w:asciiTheme="majorHAnsi" w:hAnsiTheme="majorHAnsi" w:cstheme="majorHAnsi"/>
          <w:sz w:val="20"/>
          <w:szCs w:val="20"/>
          <w:lang w:val="en-GB"/>
        </w:rPr>
        <w:t>Relevance</w:t>
      </w:r>
    </w:p>
    <w:p w14:paraId="7C06578E" w14:textId="4F2ADD66" w:rsidR="00C93719" w:rsidRPr="00F22F32" w:rsidRDefault="00C93719" w:rsidP="00FF25CA">
      <w:pPr>
        <w:pStyle w:val="ListParagraph"/>
        <w:numPr>
          <w:ilvl w:val="0"/>
          <w:numId w:val="35"/>
        </w:numPr>
        <w:jc w:val="both"/>
        <w:rPr>
          <w:rFonts w:asciiTheme="majorHAnsi" w:hAnsiTheme="majorHAnsi" w:cstheme="majorBidi"/>
          <w:sz w:val="20"/>
          <w:szCs w:val="20"/>
          <w:lang w:val="en-GB"/>
        </w:rPr>
      </w:pPr>
      <w:r w:rsidRPr="0F957377">
        <w:rPr>
          <w:rFonts w:asciiTheme="majorHAnsi" w:hAnsiTheme="majorHAnsi" w:cstheme="majorBidi"/>
          <w:sz w:val="20"/>
          <w:szCs w:val="20"/>
          <w:lang w:val="en-GB"/>
        </w:rPr>
        <w:t xml:space="preserve">Review reassessed government priorities through consultation of ongoing review mechanisms and address new needs, </w:t>
      </w:r>
      <w:r w:rsidR="00903117" w:rsidRPr="0F957377">
        <w:rPr>
          <w:rFonts w:asciiTheme="majorHAnsi" w:hAnsiTheme="majorHAnsi" w:cstheme="majorBidi"/>
          <w:sz w:val="20"/>
          <w:szCs w:val="20"/>
          <w:lang w:val="en-GB"/>
        </w:rPr>
        <w:t>namely,</w:t>
      </w:r>
      <w:r w:rsidRPr="0F957377">
        <w:rPr>
          <w:rFonts w:asciiTheme="majorHAnsi" w:hAnsiTheme="majorHAnsi" w:cstheme="majorBidi"/>
          <w:sz w:val="20"/>
          <w:szCs w:val="20"/>
          <w:lang w:val="en-GB"/>
        </w:rPr>
        <w:t xml:space="preserve"> to allow flexibility in contexts of emergencies. Clearly recognise problems like corruption, which is not in the current UNDAF, or the debt, which is real, and assure that emergencies are clearly considered in the design, most particularly the conflict in Cabo Delgado, which will require UN’s political involvement at higher level and peacebuilding and counterterrorism instances too; and the expected prolonged COVID</w:t>
      </w:r>
      <w:r w:rsidR="00F27874" w:rsidRPr="0F957377">
        <w:rPr>
          <w:rFonts w:asciiTheme="majorHAnsi" w:hAnsiTheme="majorHAnsi" w:cstheme="majorBidi"/>
          <w:sz w:val="20"/>
          <w:szCs w:val="20"/>
          <w:lang w:val="en-GB"/>
        </w:rPr>
        <w:t>-</w:t>
      </w:r>
      <w:r w:rsidRPr="0F957377">
        <w:rPr>
          <w:rFonts w:asciiTheme="majorHAnsi" w:hAnsiTheme="majorHAnsi" w:cstheme="majorBidi"/>
          <w:sz w:val="20"/>
          <w:szCs w:val="20"/>
          <w:lang w:val="en-GB"/>
        </w:rPr>
        <w:t xml:space="preserve">19 crisis. </w:t>
      </w:r>
    </w:p>
    <w:p w14:paraId="1A59D049" w14:textId="69E8EEED" w:rsidR="00C93719" w:rsidRPr="00F22F32" w:rsidRDefault="00C93719" w:rsidP="00FF25CA">
      <w:pPr>
        <w:pStyle w:val="ListParagraph"/>
        <w:numPr>
          <w:ilvl w:val="0"/>
          <w:numId w:val="35"/>
        </w:numPr>
        <w:jc w:val="both"/>
        <w:rPr>
          <w:rFonts w:asciiTheme="majorHAnsi" w:hAnsiTheme="majorHAnsi" w:cstheme="majorHAnsi"/>
          <w:sz w:val="20"/>
          <w:szCs w:val="20"/>
          <w:lang w:val="en-GB"/>
        </w:rPr>
      </w:pPr>
      <w:r w:rsidRPr="00F22F32">
        <w:rPr>
          <w:rFonts w:asciiTheme="majorHAnsi" w:hAnsiTheme="majorHAnsi" w:cstheme="majorHAnsi"/>
          <w:sz w:val="20"/>
          <w:szCs w:val="20"/>
          <w:lang w:val="en-GB"/>
        </w:rPr>
        <w:t xml:space="preserve">Build from programmes with good results and where the UN brings </w:t>
      </w:r>
      <w:r w:rsidR="00903117" w:rsidRPr="00F22F32">
        <w:rPr>
          <w:rFonts w:asciiTheme="majorHAnsi" w:hAnsiTheme="majorHAnsi" w:cstheme="majorHAnsi"/>
          <w:sz w:val="20"/>
          <w:szCs w:val="20"/>
          <w:lang w:val="en-GB"/>
        </w:rPr>
        <w:t>added value</w:t>
      </w:r>
      <w:r w:rsidRPr="00F22F32">
        <w:rPr>
          <w:rFonts w:asciiTheme="majorHAnsi" w:hAnsiTheme="majorHAnsi" w:cstheme="majorHAnsi"/>
          <w:sz w:val="20"/>
          <w:szCs w:val="20"/>
          <w:lang w:val="en-GB"/>
        </w:rPr>
        <w:t xml:space="preserve">. These include not only the gender equity and human rights-based approaches but also those targeting the youth and expand them to more comprehensive work in the area of </w:t>
      </w:r>
      <w:r w:rsidRPr="00F22F32">
        <w:rPr>
          <w:rFonts w:asciiTheme="majorHAnsi" w:hAnsiTheme="majorHAnsi" w:cstheme="majorHAnsi"/>
          <w:sz w:val="20"/>
          <w:szCs w:val="20"/>
          <w:lang w:val="en-GB"/>
        </w:rPr>
        <w:lastRenderedPageBreak/>
        <w:t>employment, new technologies and capacity building.</w:t>
      </w:r>
    </w:p>
    <w:p w14:paraId="02983101" w14:textId="16B07C30" w:rsidR="00C93719" w:rsidRPr="00F22F32" w:rsidRDefault="00C93719" w:rsidP="00FF25CA">
      <w:pPr>
        <w:pStyle w:val="ListParagraph"/>
        <w:numPr>
          <w:ilvl w:val="0"/>
          <w:numId w:val="35"/>
        </w:numPr>
        <w:jc w:val="both"/>
        <w:rPr>
          <w:rFonts w:asciiTheme="majorHAnsi" w:hAnsiTheme="majorHAnsi" w:cstheme="majorHAnsi"/>
          <w:sz w:val="20"/>
          <w:szCs w:val="20"/>
          <w:lang w:val="en-GB"/>
        </w:rPr>
      </w:pPr>
      <w:r w:rsidRPr="00F22F32">
        <w:rPr>
          <w:rFonts w:asciiTheme="majorHAnsi" w:hAnsiTheme="majorHAnsi" w:cstheme="majorHAnsi"/>
          <w:sz w:val="20"/>
          <w:szCs w:val="20"/>
          <w:lang w:val="en-GB"/>
        </w:rPr>
        <w:t>The UNSDCF needs to make the SDGs more evident</w:t>
      </w:r>
      <w:r w:rsidRPr="00F22F32">
        <w:rPr>
          <w:rFonts w:asciiTheme="majorHAnsi" w:hAnsiTheme="majorHAnsi" w:cstheme="majorHAnsi"/>
          <w:sz w:val="20"/>
          <w:szCs w:val="20"/>
        </w:rPr>
        <w:t xml:space="preserve"> and at the same time concentrate </w:t>
      </w:r>
      <w:r w:rsidRPr="00F22F32">
        <w:rPr>
          <w:rFonts w:asciiTheme="majorHAnsi" w:hAnsiTheme="majorHAnsi" w:cstheme="majorHAnsi"/>
          <w:sz w:val="20"/>
          <w:szCs w:val="20"/>
          <w:lang w:val="en-GB"/>
        </w:rPr>
        <w:t xml:space="preserve">the Outcomes in fewer areas. A more focused scope of intervention areas, demanding less efforts of coordination, is likely to foster more involvement on the part of the agencies in Mozambique and signal reduced dispersion of efforts. </w:t>
      </w:r>
    </w:p>
    <w:p w14:paraId="48F91777" w14:textId="77777777" w:rsidR="00C93719" w:rsidRPr="00F22F32" w:rsidRDefault="00C93719" w:rsidP="00C93719">
      <w:pPr>
        <w:jc w:val="both"/>
        <w:rPr>
          <w:rFonts w:asciiTheme="majorHAnsi" w:eastAsiaTheme="minorHAnsi" w:hAnsiTheme="majorHAnsi" w:cstheme="majorHAnsi"/>
          <w:sz w:val="20"/>
          <w:szCs w:val="20"/>
          <w:lang w:val="en-GB"/>
        </w:rPr>
      </w:pPr>
      <w:r w:rsidRPr="00F22F32">
        <w:rPr>
          <w:rFonts w:asciiTheme="majorHAnsi" w:hAnsiTheme="majorHAnsi" w:cstheme="majorHAnsi"/>
          <w:sz w:val="20"/>
          <w:szCs w:val="20"/>
          <w:lang w:val="en-GB"/>
        </w:rPr>
        <w:t>Effectiveness</w:t>
      </w:r>
    </w:p>
    <w:p w14:paraId="1706067A" w14:textId="6F3F899D" w:rsidR="00C93719" w:rsidRPr="00F22F32" w:rsidRDefault="00C93719" w:rsidP="00FF25CA">
      <w:pPr>
        <w:pStyle w:val="ListParagraph"/>
        <w:numPr>
          <w:ilvl w:val="0"/>
          <w:numId w:val="36"/>
        </w:numPr>
        <w:jc w:val="both"/>
        <w:rPr>
          <w:rFonts w:asciiTheme="majorHAnsi" w:hAnsiTheme="majorHAnsi" w:cstheme="majorHAnsi"/>
          <w:sz w:val="20"/>
          <w:szCs w:val="20"/>
          <w:lang w:val="en-GB"/>
        </w:rPr>
      </w:pPr>
      <w:r w:rsidRPr="00F22F32">
        <w:rPr>
          <w:rFonts w:asciiTheme="majorHAnsi" w:hAnsiTheme="majorHAnsi" w:cstheme="majorHAnsi"/>
          <w:sz w:val="20"/>
          <w:szCs w:val="20"/>
          <w:lang w:val="en-GB"/>
        </w:rPr>
        <w:t xml:space="preserve">Until the end of the current UNDAF, the UNCT will have to monitor and closely follow-up the results still to be achieved. The extension of the cooperation framework may help achieving higher performance levels given that incomplete activities will spread for another 12 months and therefore this opportunity should be seized through monitoring of the activities still to be completed. </w:t>
      </w:r>
    </w:p>
    <w:p w14:paraId="5D332C6B" w14:textId="58CC45D3" w:rsidR="00C93719" w:rsidRPr="00F22F32" w:rsidRDefault="00C93719" w:rsidP="00FF25CA">
      <w:pPr>
        <w:pStyle w:val="ListParagraph"/>
        <w:numPr>
          <w:ilvl w:val="0"/>
          <w:numId w:val="36"/>
        </w:numPr>
        <w:jc w:val="both"/>
        <w:rPr>
          <w:rFonts w:asciiTheme="majorHAnsi" w:hAnsiTheme="majorHAnsi" w:cstheme="majorHAnsi"/>
          <w:sz w:val="20"/>
          <w:szCs w:val="20"/>
          <w:lang w:val="en-GB"/>
        </w:rPr>
      </w:pPr>
      <w:r w:rsidRPr="00F22F32">
        <w:rPr>
          <w:rFonts w:asciiTheme="majorHAnsi" w:hAnsiTheme="majorHAnsi" w:cstheme="majorHAnsi"/>
          <w:sz w:val="20"/>
          <w:szCs w:val="20"/>
          <w:lang w:val="en-GB"/>
        </w:rPr>
        <w:t xml:space="preserve">To allow increased and improved flexibility, the UNSDCF will have to anticipate the main risks and trends at the economic and political levels. Concentrating the Outcomes and aligning to the SDGs should be done simultaneously with a clear allocation of resources to emergency and crises. </w:t>
      </w:r>
    </w:p>
    <w:p w14:paraId="07B07439" w14:textId="77777777" w:rsidR="00C93719" w:rsidRPr="00F22F32" w:rsidRDefault="00C93719" w:rsidP="00C93719">
      <w:pPr>
        <w:jc w:val="both"/>
        <w:rPr>
          <w:rFonts w:asciiTheme="majorHAnsi" w:eastAsiaTheme="minorHAnsi" w:hAnsiTheme="majorHAnsi" w:cstheme="majorHAnsi"/>
          <w:sz w:val="20"/>
          <w:szCs w:val="20"/>
          <w:lang w:val="en-GB"/>
        </w:rPr>
      </w:pPr>
      <w:r w:rsidRPr="00F22F32">
        <w:rPr>
          <w:rFonts w:asciiTheme="majorHAnsi" w:hAnsiTheme="majorHAnsi" w:cstheme="majorHAnsi"/>
          <w:sz w:val="20"/>
          <w:szCs w:val="20"/>
          <w:lang w:val="en-GB"/>
        </w:rPr>
        <w:t>Efficiency</w:t>
      </w:r>
    </w:p>
    <w:p w14:paraId="176763AF" w14:textId="2F0C4C51" w:rsidR="00C93719" w:rsidRPr="00F22F32" w:rsidRDefault="00A23889" w:rsidP="00FF25CA">
      <w:pPr>
        <w:pStyle w:val="ListParagraph"/>
        <w:numPr>
          <w:ilvl w:val="0"/>
          <w:numId w:val="37"/>
        </w:numPr>
        <w:jc w:val="both"/>
        <w:rPr>
          <w:rFonts w:asciiTheme="majorHAnsi" w:hAnsiTheme="majorHAnsi" w:cstheme="majorHAnsi"/>
          <w:sz w:val="20"/>
          <w:szCs w:val="20"/>
          <w:lang w:val="en-GB"/>
        </w:rPr>
      </w:pPr>
      <w:r w:rsidRPr="00F22F32">
        <w:rPr>
          <w:rFonts w:asciiTheme="majorHAnsi" w:hAnsiTheme="majorHAnsi" w:cstheme="majorHAnsi"/>
          <w:sz w:val="20"/>
          <w:szCs w:val="20"/>
          <w:lang w:val="en-GB"/>
        </w:rPr>
        <w:t>Th</w:t>
      </w:r>
      <w:r w:rsidR="00C93719" w:rsidRPr="00F22F32">
        <w:rPr>
          <w:rFonts w:asciiTheme="majorHAnsi" w:hAnsiTheme="majorHAnsi" w:cstheme="majorHAnsi"/>
          <w:sz w:val="20"/>
          <w:szCs w:val="20"/>
          <w:lang w:val="en-GB"/>
        </w:rPr>
        <w:t xml:space="preserve">e next UNSDCF will have to be more flexible to absorb (foreseen) new changes in the context of Mozambique. </w:t>
      </w:r>
      <w:r w:rsidR="00240A37" w:rsidRPr="00F22F32">
        <w:rPr>
          <w:rFonts w:asciiTheme="majorHAnsi" w:hAnsiTheme="majorHAnsi" w:cstheme="majorHAnsi"/>
          <w:sz w:val="20"/>
          <w:szCs w:val="20"/>
          <w:lang w:val="en-GB"/>
        </w:rPr>
        <w:t>O</w:t>
      </w:r>
      <w:r w:rsidR="00C93719" w:rsidRPr="00F22F32">
        <w:rPr>
          <w:rFonts w:asciiTheme="majorHAnsi" w:hAnsiTheme="majorHAnsi" w:cstheme="majorHAnsi"/>
          <w:sz w:val="20"/>
          <w:szCs w:val="20"/>
          <w:lang w:val="en-GB"/>
        </w:rPr>
        <w:t xml:space="preserve">n the one hand, this calls for more decentralised work to attend the humanitarian issues more efficiently, in the provinces where natural disasters are more frequent or in those affected by violence and insecurity. </w:t>
      </w:r>
    </w:p>
    <w:p w14:paraId="7467F428" w14:textId="0AB1E81E" w:rsidR="00C93719" w:rsidRPr="00F22F32" w:rsidRDefault="00C93719" w:rsidP="00FE3603">
      <w:pPr>
        <w:pStyle w:val="ListParagraph"/>
        <w:jc w:val="both"/>
        <w:rPr>
          <w:rFonts w:asciiTheme="majorHAnsi" w:hAnsiTheme="majorHAnsi" w:cstheme="majorHAnsi"/>
          <w:sz w:val="20"/>
          <w:szCs w:val="20"/>
          <w:lang w:val="en-GB"/>
        </w:rPr>
      </w:pPr>
      <w:r w:rsidRPr="00F22F32">
        <w:rPr>
          <w:rFonts w:asciiTheme="majorHAnsi" w:hAnsiTheme="majorHAnsi" w:cstheme="majorHAnsi"/>
          <w:sz w:val="20"/>
          <w:szCs w:val="20"/>
          <w:lang w:val="en-GB"/>
        </w:rPr>
        <w:t xml:space="preserve">The joint work of the UNCT requires improvements in systems and procedures, as well as in terms of the human resources available. There is a need to continuously improve the systematic use and updating of the UNINFO system for improved planning, </w:t>
      </w:r>
      <w:r w:rsidR="00106793" w:rsidRPr="00F22F32">
        <w:rPr>
          <w:rFonts w:asciiTheme="majorHAnsi" w:hAnsiTheme="majorHAnsi" w:cstheme="majorHAnsi"/>
          <w:sz w:val="20"/>
          <w:szCs w:val="20"/>
          <w:lang w:val="en-GB"/>
        </w:rPr>
        <w:t>implementation,</w:t>
      </w:r>
      <w:r w:rsidRPr="00F22F32">
        <w:rPr>
          <w:rFonts w:asciiTheme="majorHAnsi" w:hAnsiTheme="majorHAnsi" w:cstheme="majorHAnsi"/>
          <w:sz w:val="20"/>
          <w:szCs w:val="20"/>
          <w:lang w:val="en-GB"/>
        </w:rPr>
        <w:t xml:space="preserve"> and monitoring. The UNCT needs to improve efficiency in general to deliver the UNDAF, namely in what concerns </w:t>
      </w:r>
      <w:r w:rsidRPr="00F22F32">
        <w:rPr>
          <w:rFonts w:asciiTheme="majorHAnsi" w:hAnsiTheme="majorHAnsi" w:cstheme="majorHAnsi"/>
          <w:sz w:val="20"/>
          <w:szCs w:val="20"/>
          <w:lang w:val="en-GB"/>
        </w:rPr>
        <w:t xml:space="preserve">disbursements or supporting implementing partners for more efficient reporting. </w:t>
      </w:r>
    </w:p>
    <w:p w14:paraId="729A22A5" w14:textId="77777777" w:rsidR="00C93719" w:rsidRPr="00F22F32" w:rsidRDefault="00C93719" w:rsidP="00C93719">
      <w:pPr>
        <w:jc w:val="both"/>
        <w:rPr>
          <w:rFonts w:asciiTheme="majorHAnsi" w:eastAsiaTheme="minorHAnsi" w:hAnsiTheme="majorHAnsi" w:cstheme="majorHAnsi"/>
          <w:sz w:val="20"/>
          <w:szCs w:val="20"/>
          <w:lang w:val="en-GB"/>
        </w:rPr>
      </w:pPr>
      <w:r w:rsidRPr="00F22F32">
        <w:rPr>
          <w:rFonts w:asciiTheme="majorHAnsi" w:hAnsiTheme="majorHAnsi" w:cstheme="majorHAnsi"/>
          <w:sz w:val="20"/>
          <w:szCs w:val="20"/>
          <w:lang w:val="en-GB"/>
        </w:rPr>
        <w:t>Impact</w:t>
      </w:r>
    </w:p>
    <w:p w14:paraId="1E301352" w14:textId="05D891C7" w:rsidR="00C93719" w:rsidRPr="00F22F32" w:rsidRDefault="00C93719" w:rsidP="00FF25CA">
      <w:pPr>
        <w:pStyle w:val="ListParagraph"/>
        <w:numPr>
          <w:ilvl w:val="0"/>
          <w:numId w:val="37"/>
        </w:numPr>
        <w:jc w:val="both"/>
        <w:rPr>
          <w:rFonts w:asciiTheme="majorHAnsi" w:hAnsiTheme="majorHAnsi" w:cstheme="majorHAnsi"/>
          <w:sz w:val="20"/>
          <w:szCs w:val="20"/>
          <w:lang w:val="en-GB"/>
        </w:rPr>
      </w:pPr>
      <w:r w:rsidRPr="00F22F32">
        <w:rPr>
          <w:rFonts w:asciiTheme="majorHAnsi" w:hAnsiTheme="majorHAnsi" w:cstheme="majorHAnsi"/>
          <w:sz w:val="20"/>
          <w:szCs w:val="20"/>
          <w:lang w:val="en-GB"/>
        </w:rPr>
        <w:t xml:space="preserve">The combination of emergency work with a continued focus on UN’s strategic areas is desired. Both short and long-term impact activities need to be prepared for the next UNSDCF, as the framework needs to anticipate the prevalence of issues such as consequences of the COVID19 pandemic and of the armed conflict in Cabo Delgado. </w:t>
      </w:r>
    </w:p>
    <w:p w14:paraId="0C082221" w14:textId="77777777" w:rsidR="00C93719" w:rsidRPr="00F22F32" w:rsidRDefault="00C93719" w:rsidP="00C93719">
      <w:pPr>
        <w:jc w:val="both"/>
        <w:rPr>
          <w:rFonts w:asciiTheme="majorHAnsi" w:eastAsiaTheme="minorHAnsi" w:hAnsiTheme="majorHAnsi" w:cstheme="majorHAnsi"/>
          <w:sz w:val="20"/>
          <w:szCs w:val="20"/>
          <w:lang w:val="en-GB"/>
        </w:rPr>
      </w:pPr>
      <w:r w:rsidRPr="00F22F32">
        <w:rPr>
          <w:rFonts w:asciiTheme="majorHAnsi" w:hAnsiTheme="majorHAnsi" w:cstheme="majorHAnsi"/>
          <w:sz w:val="20"/>
          <w:szCs w:val="20"/>
          <w:lang w:val="en-GB"/>
        </w:rPr>
        <w:t>Sustainability</w:t>
      </w:r>
    </w:p>
    <w:p w14:paraId="2F121618" w14:textId="097A8AC1" w:rsidR="00C93719" w:rsidRPr="00F22F32" w:rsidRDefault="00C93719" w:rsidP="00FF25CA">
      <w:pPr>
        <w:pStyle w:val="ListParagraph"/>
        <w:numPr>
          <w:ilvl w:val="0"/>
          <w:numId w:val="37"/>
        </w:numPr>
        <w:jc w:val="both"/>
        <w:rPr>
          <w:rFonts w:asciiTheme="majorHAnsi" w:hAnsiTheme="majorHAnsi" w:cstheme="majorHAnsi"/>
          <w:sz w:val="20"/>
          <w:szCs w:val="20"/>
          <w:lang w:val="en-GB"/>
        </w:rPr>
      </w:pPr>
      <w:r w:rsidRPr="00F22F32">
        <w:rPr>
          <w:rFonts w:asciiTheme="majorHAnsi" w:hAnsiTheme="majorHAnsi" w:cstheme="majorHAnsi"/>
          <w:sz w:val="20"/>
          <w:szCs w:val="20"/>
          <w:lang w:val="en-GB"/>
        </w:rPr>
        <w:t xml:space="preserve">The UN needs to strategize sustainability more clearly in the next UNSDCF. The next framework should build from good experiences that already proved to be sustainable, such as the continued work in the areas of youth and reproductive </w:t>
      </w:r>
      <w:r w:rsidR="00FE3603" w:rsidRPr="00F22F32">
        <w:rPr>
          <w:rFonts w:asciiTheme="majorHAnsi" w:hAnsiTheme="majorHAnsi" w:cstheme="majorHAnsi"/>
          <w:sz w:val="20"/>
          <w:szCs w:val="20"/>
          <w:lang w:val="en-GB"/>
        </w:rPr>
        <w:t>health and</w:t>
      </w:r>
      <w:r w:rsidRPr="00F22F32">
        <w:rPr>
          <w:rFonts w:asciiTheme="majorHAnsi" w:hAnsiTheme="majorHAnsi" w:cstheme="majorHAnsi"/>
          <w:sz w:val="20"/>
          <w:szCs w:val="20"/>
          <w:lang w:val="en-GB"/>
        </w:rPr>
        <w:t xml:space="preserve"> take in consideration recurrent and long-term needs of the government and beneficiaries. </w:t>
      </w:r>
    </w:p>
    <w:p w14:paraId="186AE74A" w14:textId="77777777" w:rsidR="00C93719" w:rsidRPr="00F22F32" w:rsidRDefault="00C93719" w:rsidP="00C93719">
      <w:pPr>
        <w:jc w:val="both"/>
        <w:rPr>
          <w:rFonts w:asciiTheme="majorHAnsi" w:hAnsiTheme="majorHAnsi" w:cstheme="majorHAnsi"/>
          <w:sz w:val="20"/>
          <w:szCs w:val="20"/>
          <w:lang w:val="en-GB"/>
        </w:rPr>
      </w:pPr>
      <w:r w:rsidRPr="00F22F32">
        <w:rPr>
          <w:rFonts w:asciiTheme="majorHAnsi" w:hAnsiTheme="majorHAnsi" w:cstheme="majorHAnsi"/>
          <w:sz w:val="20"/>
          <w:szCs w:val="20"/>
          <w:lang w:val="en-GB"/>
        </w:rPr>
        <w:t xml:space="preserve">Coordination </w:t>
      </w:r>
    </w:p>
    <w:p w14:paraId="5837CE29" w14:textId="40EFC06D" w:rsidR="00C93719" w:rsidRPr="00F22F32" w:rsidRDefault="00C93719" w:rsidP="00FF25CA">
      <w:pPr>
        <w:pStyle w:val="ListParagraph"/>
        <w:numPr>
          <w:ilvl w:val="0"/>
          <w:numId w:val="37"/>
        </w:numPr>
        <w:jc w:val="both"/>
        <w:rPr>
          <w:rFonts w:asciiTheme="majorHAnsi" w:hAnsiTheme="majorHAnsi" w:cstheme="majorHAnsi"/>
          <w:sz w:val="20"/>
          <w:szCs w:val="20"/>
          <w:lang w:val="en-GB"/>
        </w:rPr>
      </w:pPr>
      <w:r w:rsidRPr="00F22F32">
        <w:rPr>
          <w:rFonts w:asciiTheme="majorHAnsi" w:hAnsiTheme="majorHAnsi" w:cstheme="majorHAnsi"/>
          <w:sz w:val="20"/>
          <w:szCs w:val="20"/>
          <w:lang w:val="en-GB"/>
        </w:rPr>
        <w:t xml:space="preserve">The preparation of the new UNSDCF should take momentum from the good practices developed for emergency work. These can be mobilised for planning, implementation and monitoring and evaluation. </w:t>
      </w:r>
    </w:p>
    <w:p w14:paraId="6B25C7EA" w14:textId="77777777" w:rsidR="00C93719" w:rsidRPr="00F22F32" w:rsidRDefault="00C93719" w:rsidP="00C93719">
      <w:pPr>
        <w:jc w:val="both"/>
        <w:rPr>
          <w:rFonts w:asciiTheme="majorHAnsi" w:eastAsiaTheme="minorHAnsi" w:hAnsiTheme="majorHAnsi" w:cstheme="majorHAnsi"/>
          <w:sz w:val="20"/>
          <w:szCs w:val="20"/>
          <w:lang w:val="en-GB"/>
        </w:rPr>
      </w:pPr>
      <w:r w:rsidRPr="00F22F32">
        <w:rPr>
          <w:rFonts w:asciiTheme="majorHAnsi" w:hAnsiTheme="majorHAnsi" w:cstheme="majorHAnsi"/>
          <w:sz w:val="20"/>
          <w:szCs w:val="20"/>
          <w:lang w:val="en-GB"/>
        </w:rPr>
        <w:t>Coherence</w:t>
      </w:r>
    </w:p>
    <w:p w14:paraId="23735984" w14:textId="605D244E" w:rsidR="00C93719" w:rsidRPr="00F22F32" w:rsidRDefault="00C93719" w:rsidP="00FF25CA">
      <w:pPr>
        <w:pStyle w:val="ListParagraph"/>
        <w:numPr>
          <w:ilvl w:val="0"/>
          <w:numId w:val="37"/>
        </w:numPr>
        <w:jc w:val="both"/>
        <w:rPr>
          <w:rFonts w:asciiTheme="majorHAnsi" w:hAnsiTheme="majorHAnsi" w:cstheme="majorHAnsi"/>
          <w:sz w:val="20"/>
          <w:szCs w:val="20"/>
          <w:lang w:val="en-GB"/>
        </w:rPr>
      </w:pPr>
      <w:r w:rsidRPr="00F22F32">
        <w:rPr>
          <w:rFonts w:asciiTheme="majorHAnsi" w:hAnsiTheme="majorHAnsi" w:cstheme="majorHAnsi"/>
          <w:sz w:val="20"/>
          <w:szCs w:val="20"/>
          <w:lang w:val="en-GB"/>
        </w:rPr>
        <w:t>Agency and joint participation in multi-stakeholders thematic and task groups should continue, as well as more collaboration with government. The programme can absorb lessons from joint work/project implementation and use it to plan and revise the work with other development partners in the country. The work with the Go</w:t>
      </w:r>
      <w:r w:rsidR="002B55CF" w:rsidRPr="00F22F32">
        <w:rPr>
          <w:rFonts w:asciiTheme="majorHAnsi" w:hAnsiTheme="majorHAnsi" w:cstheme="majorHAnsi"/>
          <w:sz w:val="20"/>
          <w:szCs w:val="20"/>
          <w:lang w:val="en-GB"/>
        </w:rPr>
        <w:t>M</w:t>
      </w:r>
      <w:r w:rsidRPr="00F22F32">
        <w:rPr>
          <w:rFonts w:asciiTheme="majorHAnsi" w:hAnsiTheme="majorHAnsi" w:cstheme="majorHAnsi"/>
          <w:sz w:val="20"/>
          <w:szCs w:val="20"/>
          <w:lang w:val="en-GB"/>
        </w:rPr>
        <w:t xml:space="preserve"> should be constantly aware of the need to improve the visibility of the UNSDCF alignment to government priorities, assuring that all or almost all government priorities are integrated in the framework. </w:t>
      </w:r>
    </w:p>
    <w:p w14:paraId="30F871D0" w14:textId="77777777" w:rsidR="00EF5941" w:rsidRDefault="00EF5941" w:rsidP="00EF5941">
      <w:pPr>
        <w:pStyle w:val="Heading3"/>
        <w:rPr>
          <w:rFonts w:cstheme="majorHAnsi"/>
          <w:i/>
          <w:iCs/>
          <w:color w:val="auto"/>
        </w:rPr>
      </w:pPr>
      <w:bookmarkStart w:id="27" w:name="_Toc71207082"/>
    </w:p>
    <w:p w14:paraId="1BAAE548" w14:textId="062ABF45" w:rsidR="00EF5941" w:rsidRPr="00EF5941" w:rsidRDefault="00EF5941" w:rsidP="00EF5941">
      <w:pPr>
        <w:sectPr w:rsidR="00EF5941" w:rsidRPr="00EF5941" w:rsidSect="00EF5941">
          <w:type w:val="continuous"/>
          <w:pgSz w:w="12240" w:h="15840"/>
          <w:pgMar w:top="1440" w:right="1440" w:bottom="1440" w:left="1440" w:header="720" w:footer="720" w:gutter="0"/>
          <w:pgNumType w:start="0"/>
          <w:cols w:num="2" w:space="720"/>
          <w:titlePg/>
          <w:docGrid w:linePitch="360"/>
        </w:sectPr>
      </w:pPr>
    </w:p>
    <w:p w14:paraId="3369FB3D" w14:textId="5BCB272E" w:rsidR="00BA0A4E" w:rsidRPr="00F22F32" w:rsidRDefault="00BA0A4E" w:rsidP="009E7B7D">
      <w:pPr>
        <w:pStyle w:val="Heading3"/>
        <w:numPr>
          <w:ilvl w:val="1"/>
          <w:numId w:val="51"/>
        </w:numPr>
        <w:rPr>
          <w:rFonts w:cstheme="majorHAnsi"/>
          <w:i/>
          <w:iCs/>
          <w:color w:val="auto"/>
        </w:rPr>
      </w:pPr>
      <w:r w:rsidRPr="00F22F32">
        <w:rPr>
          <w:rFonts w:cstheme="majorHAnsi"/>
          <w:i/>
          <w:iCs/>
          <w:color w:val="auto"/>
        </w:rPr>
        <w:lastRenderedPageBreak/>
        <w:t>Financial Overview and Resource Mobilization</w:t>
      </w:r>
      <w:bookmarkEnd w:id="27"/>
      <w:r w:rsidRPr="00F22F32">
        <w:rPr>
          <w:rFonts w:cstheme="majorHAnsi"/>
          <w:i/>
          <w:iCs/>
          <w:color w:val="auto"/>
        </w:rPr>
        <w:t xml:space="preserve"> </w:t>
      </w:r>
    </w:p>
    <w:p w14:paraId="1CC28035" w14:textId="1BD2BCAF" w:rsidR="00BA0A4E" w:rsidRPr="00F22F32" w:rsidRDefault="00BA0A4E" w:rsidP="00BA0A4E">
      <w:pPr>
        <w:rPr>
          <w:rFonts w:asciiTheme="majorHAnsi" w:hAnsiTheme="majorHAnsi" w:cstheme="majorHAnsi"/>
        </w:rPr>
      </w:pPr>
    </w:p>
    <w:p w14:paraId="71B416C4" w14:textId="38B83EAD" w:rsidR="00923688" w:rsidRPr="00F22F32" w:rsidRDefault="00923688" w:rsidP="03239B7C">
      <w:pPr>
        <w:pStyle w:val="ListParagraph"/>
        <w:numPr>
          <w:ilvl w:val="0"/>
          <w:numId w:val="46"/>
        </w:numPr>
        <w:rPr>
          <w:rFonts w:asciiTheme="majorHAnsi" w:hAnsiTheme="majorHAnsi" w:cstheme="majorBidi"/>
        </w:rPr>
      </w:pPr>
      <w:r w:rsidRPr="00F22F32">
        <w:rPr>
          <w:rFonts w:asciiTheme="majorHAnsi" w:hAnsiTheme="majorHAnsi" w:cstheme="majorBidi"/>
        </w:rPr>
        <w:t>Financial Overview</w:t>
      </w:r>
    </w:p>
    <w:p w14:paraId="1DC6C721" w14:textId="2E50E092" w:rsidR="00E970BD" w:rsidRPr="00F22F32" w:rsidRDefault="523A999C" w:rsidP="00EF0C6F">
      <w:pPr>
        <w:pStyle w:val="ListParagraph"/>
      </w:pPr>
      <w:r>
        <w:rPr>
          <w:noProof/>
        </w:rPr>
        <w:drawing>
          <wp:inline distT="0" distB="0" distL="0" distR="0" wp14:anchorId="0F79B2A4" wp14:editId="19026C9F">
            <wp:extent cx="5041127" cy="2237808"/>
            <wp:effectExtent l="0" t="0" r="7620" b="0"/>
            <wp:docPr id="1235885204" name="Picture 1235885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885204"/>
                    <pic:cNvPicPr/>
                  </pic:nvPicPr>
                  <pic:blipFill>
                    <a:blip r:embed="rId60">
                      <a:extLst>
                        <a:ext uri="{28A0092B-C50C-407E-A947-70E740481C1C}">
                          <a14:useLocalDpi xmlns:a14="http://schemas.microsoft.com/office/drawing/2010/main" val="0"/>
                        </a:ext>
                      </a:extLst>
                    </a:blip>
                    <a:stretch>
                      <a:fillRect/>
                    </a:stretch>
                  </pic:blipFill>
                  <pic:spPr>
                    <a:xfrm>
                      <a:off x="0" y="0"/>
                      <a:ext cx="5069201" cy="2250270"/>
                    </a:xfrm>
                    <a:prstGeom prst="rect">
                      <a:avLst/>
                    </a:prstGeom>
                  </pic:spPr>
                </pic:pic>
              </a:graphicData>
            </a:graphic>
          </wp:inline>
        </w:drawing>
      </w:r>
    </w:p>
    <w:p w14:paraId="4D268F49" w14:textId="7046BA32" w:rsidR="00315AEA" w:rsidRPr="00F22F32" w:rsidRDefault="00315AEA" w:rsidP="00315AEA">
      <w:pPr>
        <w:pStyle w:val="ListParagraph"/>
        <w:rPr>
          <w:rFonts w:asciiTheme="majorHAnsi" w:hAnsiTheme="majorHAnsi" w:cstheme="majorHAnsi"/>
          <w:sz w:val="20"/>
          <w:szCs w:val="20"/>
        </w:rPr>
      </w:pPr>
      <w:r w:rsidRPr="00F22F32">
        <w:rPr>
          <w:rFonts w:asciiTheme="majorHAnsi" w:hAnsiTheme="majorHAnsi" w:cstheme="majorHAnsi"/>
          <w:sz w:val="20"/>
          <w:szCs w:val="20"/>
        </w:rPr>
        <w:t xml:space="preserve">Together with more than 50 financial partners, over USD </w:t>
      </w:r>
      <w:r w:rsidR="008F7689" w:rsidRPr="00F22F32">
        <w:rPr>
          <w:rFonts w:asciiTheme="majorHAnsi" w:hAnsiTheme="majorHAnsi" w:cstheme="majorHAnsi"/>
          <w:sz w:val="20"/>
          <w:szCs w:val="20"/>
        </w:rPr>
        <w:t>$1</w:t>
      </w:r>
      <w:r w:rsidR="00C30A83" w:rsidRPr="00F22F32">
        <w:rPr>
          <w:rFonts w:asciiTheme="majorHAnsi" w:hAnsiTheme="majorHAnsi" w:cstheme="majorHAnsi"/>
          <w:sz w:val="20"/>
          <w:szCs w:val="20"/>
        </w:rPr>
        <w:t>.</w:t>
      </w:r>
      <w:r w:rsidR="008F7689" w:rsidRPr="00F22F32">
        <w:rPr>
          <w:rFonts w:asciiTheme="majorHAnsi" w:hAnsiTheme="majorHAnsi" w:cstheme="majorHAnsi"/>
          <w:sz w:val="20"/>
          <w:szCs w:val="20"/>
        </w:rPr>
        <w:t>05 b</w:t>
      </w:r>
      <w:r w:rsidRPr="00F22F32">
        <w:rPr>
          <w:rFonts w:asciiTheme="majorHAnsi" w:hAnsiTheme="majorHAnsi" w:cstheme="majorHAnsi"/>
          <w:sz w:val="20"/>
          <w:szCs w:val="20"/>
        </w:rPr>
        <w:t>illion has been mobilized for the UNDAF out of a required USD $</w:t>
      </w:r>
      <w:r w:rsidR="00C30A83" w:rsidRPr="00F22F32">
        <w:rPr>
          <w:rFonts w:asciiTheme="majorHAnsi" w:hAnsiTheme="majorHAnsi" w:cstheme="majorHAnsi"/>
          <w:sz w:val="20"/>
          <w:szCs w:val="20"/>
        </w:rPr>
        <w:t>2.04</w:t>
      </w:r>
      <w:r w:rsidRPr="00F22F32">
        <w:rPr>
          <w:rFonts w:asciiTheme="majorHAnsi" w:hAnsiTheme="majorHAnsi" w:cstheme="majorHAnsi"/>
          <w:sz w:val="20"/>
          <w:szCs w:val="20"/>
        </w:rPr>
        <w:t xml:space="preserve"> billion, representing </w:t>
      </w:r>
      <w:r w:rsidR="009B52B9" w:rsidRPr="00F22F32">
        <w:rPr>
          <w:rFonts w:asciiTheme="majorHAnsi" w:hAnsiTheme="majorHAnsi" w:cstheme="majorHAnsi"/>
          <w:sz w:val="20"/>
          <w:szCs w:val="20"/>
        </w:rPr>
        <w:t>48</w:t>
      </w:r>
      <w:r w:rsidRPr="00F22F32">
        <w:rPr>
          <w:rFonts w:asciiTheme="majorHAnsi" w:hAnsiTheme="majorHAnsi" w:cstheme="majorHAnsi"/>
          <w:sz w:val="20"/>
          <w:szCs w:val="20"/>
        </w:rPr>
        <w:t xml:space="preserve">% shortfall in required resources. Outcome 1, Food security and nutrition, Outcome 6, Health and Outcome </w:t>
      </w:r>
      <w:r w:rsidR="004530B1" w:rsidRPr="00F22F32">
        <w:rPr>
          <w:rFonts w:asciiTheme="majorHAnsi" w:hAnsiTheme="majorHAnsi" w:cstheme="majorHAnsi"/>
          <w:sz w:val="20"/>
          <w:szCs w:val="20"/>
        </w:rPr>
        <w:t>3</w:t>
      </w:r>
      <w:r w:rsidRPr="00F22F32">
        <w:rPr>
          <w:rFonts w:asciiTheme="majorHAnsi" w:hAnsiTheme="majorHAnsi" w:cstheme="majorHAnsi"/>
          <w:sz w:val="20"/>
          <w:szCs w:val="20"/>
        </w:rPr>
        <w:t xml:space="preserve">, </w:t>
      </w:r>
      <w:r w:rsidR="00CA2752" w:rsidRPr="00F22F32">
        <w:rPr>
          <w:rFonts w:asciiTheme="majorHAnsi" w:hAnsiTheme="majorHAnsi" w:cstheme="majorHAnsi"/>
          <w:sz w:val="20"/>
          <w:szCs w:val="20"/>
        </w:rPr>
        <w:t>Education</w:t>
      </w:r>
      <w:r w:rsidR="000F623F" w:rsidRPr="00F22F32">
        <w:rPr>
          <w:rFonts w:asciiTheme="majorHAnsi" w:hAnsiTheme="majorHAnsi" w:cstheme="majorHAnsi"/>
          <w:sz w:val="20"/>
          <w:szCs w:val="20"/>
        </w:rPr>
        <w:t xml:space="preserve"> </w:t>
      </w:r>
      <w:r w:rsidRPr="00F22F32">
        <w:rPr>
          <w:rFonts w:asciiTheme="majorHAnsi" w:hAnsiTheme="majorHAnsi" w:cstheme="majorHAnsi"/>
          <w:sz w:val="20"/>
          <w:szCs w:val="20"/>
        </w:rPr>
        <w:t>have mobilized the largest amount of resources</w:t>
      </w:r>
      <w:r w:rsidR="00E521B4" w:rsidRPr="00F22F32">
        <w:rPr>
          <w:rFonts w:asciiTheme="majorHAnsi" w:hAnsiTheme="majorHAnsi" w:cstheme="majorHAnsi"/>
          <w:sz w:val="20"/>
          <w:szCs w:val="20"/>
        </w:rPr>
        <w:t>.</w:t>
      </w:r>
    </w:p>
    <w:p w14:paraId="7251DF11" w14:textId="77777777" w:rsidR="00D0518C" w:rsidRPr="00F22F32" w:rsidRDefault="00D0518C" w:rsidP="00315AEA">
      <w:pPr>
        <w:pStyle w:val="ListParagraph"/>
        <w:rPr>
          <w:rFonts w:asciiTheme="majorHAnsi" w:hAnsiTheme="majorHAnsi" w:cstheme="majorHAnsi"/>
          <w:sz w:val="20"/>
          <w:szCs w:val="20"/>
        </w:rPr>
      </w:pPr>
    </w:p>
    <w:p w14:paraId="70A1E2FD" w14:textId="11A745B9" w:rsidR="00C532B5" w:rsidRDefault="00923688" w:rsidP="0A10ABDC">
      <w:pPr>
        <w:pStyle w:val="ListParagraph"/>
        <w:numPr>
          <w:ilvl w:val="0"/>
          <w:numId w:val="46"/>
        </w:numPr>
        <w:rPr>
          <w:rFonts w:asciiTheme="majorHAnsi" w:hAnsiTheme="majorHAnsi" w:cstheme="majorBidi"/>
        </w:rPr>
      </w:pPr>
      <w:r w:rsidRPr="00F22F32">
        <w:rPr>
          <w:rFonts w:asciiTheme="majorHAnsi" w:hAnsiTheme="majorHAnsi" w:cstheme="majorBidi"/>
        </w:rPr>
        <w:t>Resource Mobilization</w:t>
      </w:r>
    </w:p>
    <w:p w14:paraId="592A8519" w14:textId="77777777" w:rsidR="00EB521A" w:rsidRPr="00F22F32" w:rsidRDefault="00EB521A" w:rsidP="00EB521A">
      <w:pPr>
        <w:pStyle w:val="ListParagraph"/>
        <w:rPr>
          <w:rFonts w:asciiTheme="majorHAnsi" w:hAnsiTheme="majorHAnsi" w:cstheme="majorBidi"/>
        </w:rPr>
      </w:pPr>
    </w:p>
    <w:p w14:paraId="5CCC8E10" w14:textId="3D626876" w:rsidR="77ED7C30" w:rsidRDefault="77ED7C30" w:rsidP="00EB521A">
      <w:pPr>
        <w:pStyle w:val="ListParagraph"/>
        <w:ind w:left="0"/>
        <w:jc w:val="center"/>
      </w:pPr>
      <w:r>
        <w:rPr>
          <w:noProof/>
        </w:rPr>
        <w:drawing>
          <wp:inline distT="0" distB="0" distL="0" distR="0" wp14:anchorId="1F59CE67" wp14:editId="5F3A74D9">
            <wp:extent cx="3727474" cy="1868086"/>
            <wp:effectExtent l="0" t="0" r="6350" b="0"/>
            <wp:docPr id="1652568894" name="Picture 1652568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568894"/>
                    <pic:cNvPicPr/>
                  </pic:nvPicPr>
                  <pic:blipFill>
                    <a:blip r:embed="rId61">
                      <a:extLst>
                        <a:ext uri="{28A0092B-C50C-407E-A947-70E740481C1C}">
                          <a14:useLocalDpi xmlns:a14="http://schemas.microsoft.com/office/drawing/2010/main" val="0"/>
                        </a:ext>
                      </a:extLst>
                    </a:blip>
                    <a:stretch>
                      <a:fillRect/>
                    </a:stretch>
                  </pic:blipFill>
                  <pic:spPr>
                    <a:xfrm>
                      <a:off x="0" y="0"/>
                      <a:ext cx="3814624" cy="1911763"/>
                    </a:xfrm>
                    <a:prstGeom prst="rect">
                      <a:avLst/>
                    </a:prstGeom>
                  </pic:spPr>
                </pic:pic>
              </a:graphicData>
            </a:graphic>
          </wp:inline>
        </w:drawing>
      </w:r>
    </w:p>
    <w:p w14:paraId="034E4FD0" w14:textId="77777777" w:rsidR="00EB521A" w:rsidRPr="00F22F32" w:rsidRDefault="00EB521A" w:rsidP="0A10ABDC">
      <w:pPr>
        <w:pStyle w:val="ListParagraph"/>
        <w:ind w:left="0"/>
      </w:pPr>
    </w:p>
    <w:p w14:paraId="5DB41374" w14:textId="6CCBB2AA" w:rsidR="00D0518C" w:rsidRPr="0070197F" w:rsidRDefault="00D0518C" w:rsidP="0070197F">
      <w:pPr>
        <w:rPr>
          <w:rFonts w:asciiTheme="majorHAnsi" w:hAnsiTheme="majorHAnsi" w:cstheme="majorHAnsi"/>
          <w:sz w:val="20"/>
          <w:szCs w:val="20"/>
        </w:rPr>
      </w:pPr>
      <w:r w:rsidRPr="0070197F">
        <w:rPr>
          <w:rFonts w:asciiTheme="majorHAnsi" w:hAnsiTheme="majorHAnsi" w:cstheme="majorHAnsi"/>
          <w:sz w:val="20"/>
          <w:szCs w:val="20"/>
        </w:rPr>
        <w:t>In partnership with more than 40 government institutions and over 80 non-government partners, 423 programmes have been implemented under the UNDAF. Without the leadership of the government institutions and the partners for their collaboration and advice, the UN would not have successfully been able to make the progress it made, nor advance the sustainable</w:t>
      </w:r>
      <w:r w:rsidR="0070197F">
        <w:rPr>
          <w:rFonts w:asciiTheme="majorHAnsi" w:hAnsiTheme="majorHAnsi" w:cstheme="majorHAnsi"/>
          <w:sz w:val="20"/>
          <w:szCs w:val="20"/>
        </w:rPr>
        <w:t xml:space="preserve"> </w:t>
      </w:r>
      <w:r w:rsidRPr="0070197F">
        <w:rPr>
          <w:rFonts w:asciiTheme="majorHAnsi" w:hAnsiTheme="majorHAnsi" w:cstheme="majorHAnsi"/>
          <w:sz w:val="20"/>
          <w:szCs w:val="20"/>
        </w:rPr>
        <w:t>development of the country as it has. The UN stands jointly to deliver as one and to help accelerate the sustainable development of Mozambique</w:t>
      </w:r>
      <w:r w:rsidR="00D1259A" w:rsidRPr="0070197F">
        <w:rPr>
          <w:rFonts w:asciiTheme="majorHAnsi" w:hAnsiTheme="majorHAnsi" w:cstheme="majorHAnsi"/>
          <w:sz w:val="20"/>
          <w:szCs w:val="20"/>
        </w:rPr>
        <w:t>.</w:t>
      </w:r>
    </w:p>
    <w:p w14:paraId="514C66D1" w14:textId="27EEE56D" w:rsidR="00D0518C" w:rsidRDefault="00D0518C" w:rsidP="00D0518C">
      <w:pPr>
        <w:pStyle w:val="ListParagraph"/>
        <w:rPr>
          <w:rFonts w:asciiTheme="majorHAnsi" w:hAnsiTheme="majorHAnsi" w:cstheme="majorHAnsi"/>
          <w:sz w:val="20"/>
          <w:szCs w:val="20"/>
        </w:rPr>
      </w:pPr>
    </w:p>
    <w:p w14:paraId="12E45F3E" w14:textId="5E267C6D" w:rsidR="00EA3DAB" w:rsidRDefault="00EA3DAB" w:rsidP="00D0518C">
      <w:pPr>
        <w:pStyle w:val="ListParagraph"/>
        <w:rPr>
          <w:rFonts w:asciiTheme="majorHAnsi" w:hAnsiTheme="majorHAnsi" w:cstheme="majorHAnsi"/>
          <w:sz w:val="20"/>
          <w:szCs w:val="20"/>
        </w:rPr>
      </w:pPr>
    </w:p>
    <w:p w14:paraId="05805691" w14:textId="07574E31" w:rsidR="00EA3DAB" w:rsidRDefault="00EA3DAB" w:rsidP="00D0518C">
      <w:pPr>
        <w:pStyle w:val="ListParagraph"/>
        <w:rPr>
          <w:rFonts w:asciiTheme="majorHAnsi" w:hAnsiTheme="majorHAnsi" w:cstheme="majorHAnsi"/>
          <w:sz w:val="20"/>
          <w:szCs w:val="20"/>
        </w:rPr>
      </w:pPr>
    </w:p>
    <w:p w14:paraId="3B5F70B6" w14:textId="2BF723C2" w:rsidR="00EA3DAB" w:rsidRDefault="00EA3DAB" w:rsidP="00D0518C">
      <w:pPr>
        <w:pStyle w:val="ListParagraph"/>
        <w:rPr>
          <w:rFonts w:asciiTheme="majorHAnsi" w:hAnsiTheme="majorHAnsi" w:cstheme="majorHAnsi"/>
          <w:sz w:val="20"/>
          <w:szCs w:val="20"/>
        </w:rPr>
      </w:pPr>
    </w:p>
    <w:p w14:paraId="432398AD" w14:textId="77777777" w:rsidR="00EA3DAB" w:rsidRPr="00F22F32" w:rsidRDefault="00EA3DAB" w:rsidP="00D0518C">
      <w:pPr>
        <w:pStyle w:val="ListParagraph"/>
        <w:rPr>
          <w:rFonts w:asciiTheme="majorHAnsi" w:hAnsiTheme="majorHAnsi" w:cstheme="majorHAnsi"/>
          <w:sz w:val="20"/>
          <w:szCs w:val="20"/>
        </w:rPr>
      </w:pPr>
    </w:p>
    <w:p w14:paraId="7E9D4988" w14:textId="30434C4F" w:rsidR="00BA0A4E" w:rsidRPr="00F22F32" w:rsidRDefault="00BA0A4E" w:rsidP="00E763F1">
      <w:pPr>
        <w:pStyle w:val="Heading1"/>
        <w:numPr>
          <w:ilvl w:val="0"/>
          <w:numId w:val="51"/>
        </w:numPr>
        <w:rPr>
          <w:rFonts w:cstheme="majorHAnsi"/>
          <w:b/>
          <w:bCs/>
          <w:color w:val="auto"/>
          <w:w w:val="95"/>
          <w:sz w:val="36"/>
          <w:szCs w:val="36"/>
        </w:rPr>
      </w:pPr>
      <w:bookmarkStart w:id="28" w:name="_Toc71207083"/>
      <w:r w:rsidRPr="00F22F32">
        <w:rPr>
          <w:rFonts w:cstheme="majorHAnsi"/>
          <w:b/>
          <w:bCs/>
          <w:color w:val="auto"/>
          <w:w w:val="95"/>
          <w:sz w:val="36"/>
          <w:szCs w:val="36"/>
        </w:rPr>
        <w:lastRenderedPageBreak/>
        <w:t xml:space="preserve">CHAPTER </w:t>
      </w:r>
      <w:r w:rsidR="000065C3" w:rsidRPr="00F22F32">
        <w:rPr>
          <w:rFonts w:cstheme="majorHAnsi"/>
          <w:b/>
          <w:bCs/>
          <w:color w:val="auto"/>
          <w:w w:val="95"/>
          <w:sz w:val="36"/>
          <w:szCs w:val="36"/>
        </w:rPr>
        <w:t>3: UNCT Key focus for next year</w:t>
      </w:r>
      <w:bookmarkEnd w:id="28"/>
    </w:p>
    <w:p w14:paraId="15AF40BA" w14:textId="7F52CAE0" w:rsidR="008016CE" w:rsidRPr="00F22F32" w:rsidRDefault="008016CE" w:rsidP="008016CE">
      <w:pPr>
        <w:rPr>
          <w:lang w:bidi="ar-SA"/>
        </w:rPr>
      </w:pPr>
    </w:p>
    <w:p w14:paraId="263DF321" w14:textId="6C717BF5" w:rsidR="008016CE" w:rsidRPr="00F22F32" w:rsidRDefault="00663EA9" w:rsidP="009E7B7D">
      <w:pPr>
        <w:pStyle w:val="ListParagraph"/>
        <w:numPr>
          <w:ilvl w:val="0"/>
          <w:numId w:val="49"/>
        </w:numPr>
      </w:pPr>
      <w:r w:rsidRPr="00F22F32">
        <w:t>Staring new cycle or consolidated wi</w:t>
      </w:r>
      <w:r w:rsidR="00476657" w:rsidRPr="00F22F32">
        <w:t>n</w:t>
      </w:r>
      <w:r w:rsidRPr="00F22F32">
        <w:t>d</w:t>
      </w:r>
      <w:r w:rsidR="00476657" w:rsidRPr="00F22F32">
        <w:t>i</w:t>
      </w:r>
      <w:r w:rsidRPr="00F22F32">
        <w:t>ng up the current cycle</w:t>
      </w:r>
    </w:p>
    <w:p w14:paraId="1AAAC9C8" w14:textId="64FB5B3B" w:rsidR="00663EA9" w:rsidRPr="00F22F32" w:rsidRDefault="00663EA9" w:rsidP="009E7B7D">
      <w:pPr>
        <w:pStyle w:val="ListParagraph"/>
        <w:numPr>
          <w:ilvl w:val="0"/>
          <w:numId w:val="49"/>
        </w:numPr>
      </w:pPr>
      <w:r w:rsidRPr="00F22F32">
        <w:t>Direction of key results as well as risks for next year</w:t>
      </w:r>
      <w:r w:rsidR="00476657" w:rsidRPr="00F22F32">
        <w:t>, based on the development in country context in current year and expected in next year, e.g. Covid-19 pandemic, conflict in Cabo Delgado and IDPs, economic crisis, etc.</w:t>
      </w:r>
    </w:p>
    <w:p w14:paraId="2315749B" w14:textId="0927262B" w:rsidR="008016CE" w:rsidRPr="00F22F32" w:rsidRDefault="008016CE" w:rsidP="008016CE">
      <w:pPr>
        <w:rPr>
          <w:lang w:bidi="ar-SA"/>
        </w:rPr>
      </w:pPr>
    </w:p>
    <w:p w14:paraId="4D45D92A" w14:textId="77777777" w:rsidR="00687C14" w:rsidRDefault="00687C14" w:rsidP="007C630C">
      <w:pPr>
        <w:jc w:val="both"/>
        <w:rPr>
          <w:rFonts w:asciiTheme="majorHAnsi" w:hAnsiTheme="majorHAnsi" w:cstheme="majorHAnsi"/>
          <w:sz w:val="20"/>
          <w:szCs w:val="20"/>
        </w:rPr>
        <w:sectPr w:rsidR="00687C14" w:rsidSect="005B27FF">
          <w:type w:val="continuous"/>
          <w:pgSz w:w="12240" w:h="15840"/>
          <w:pgMar w:top="1440" w:right="1440" w:bottom="1440" w:left="1440" w:header="720" w:footer="720" w:gutter="0"/>
          <w:pgNumType w:start="0"/>
          <w:cols w:space="720"/>
          <w:titlePg/>
          <w:docGrid w:linePitch="360"/>
        </w:sectPr>
      </w:pPr>
    </w:p>
    <w:p w14:paraId="5A7A3A62" w14:textId="2A9C67C6" w:rsidR="007C630C" w:rsidRPr="00F22F32" w:rsidRDefault="007C630C" w:rsidP="007C630C">
      <w:pPr>
        <w:jc w:val="both"/>
        <w:rPr>
          <w:rFonts w:asciiTheme="majorHAnsi" w:hAnsiTheme="majorHAnsi" w:cstheme="majorHAnsi"/>
          <w:sz w:val="20"/>
          <w:szCs w:val="20"/>
        </w:rPr>
      </w:pPr>
      <w:r w:rsidRPr="00F22F32">
        <w:rPr>
          <w:rFonts w:asciiTheme="majorHAnsi" w:hAnsiTheme="majorHAnsi" w:cstheme="majorHAnsi"/>
          <w:sz w:val="20"/>
          <w:szCs w:val="20"/>
        </w:rPr>
        <w:t xml:space="preserve">This year started with Mozambique’s first new generation CCA process and the formulation of the CCA document. The process started on the basis of 4 issues papers that were prepared by 4 inter-agency group (Planet, Prosperity, People and Peace). </w:t>
      </w:r>
    </w:p>
    <w:p w14:paraId="1E1EB2F8" w14:textId="77777777" w:rsidR="007C630C" w:rsidRPr="00F22F32" w:rsidRDefault="007C630C" w:rsidP="007C630C">
      <w:pPr>
        <w:jc w:val="both"/>
        <w:rPr>
          <w:rFonts w:asciiTheme="majorHAnsi" w:hAnsiTheme="majorHAnsi" w:cstheme="majorHAnsi"/>
          <w:sz w:val="20"/>
          <w:szCs w:val="20"/>
        </w:rPr>
      </w:pPr>
    </w:p>
    <w:p w14:paraId="1AC4A71E" w14:textId="77777777" w:rsidR="007C630C" w:rsidRPr="00F22F32" w:rsidRDefault="007C630C" w:rsidP="007C630C">
      <w:pPr>
        <w:jc w:val="both"/>
        <w:rPr>
          <w:rFonts w:asciiTheme="majorHAnsi" w:hAnsiTheme="majorHAnsi" w:cstheme="majorHAnsi"/>
          <w:sz w:val="20"/>
          <w:szCs w:val="20"/>
        </w:rPr>
      </w:pPr>
      <w:r w:rsidRPr="00F22F32">
        <w:rPr>
          <w:rFonts w:asciiTheme="majorHAnsi" w:hAnsiTheme="majorHAnsi" w:cstheme="majorHAnsi"/>
          <w:sz w:val="20"/>
          <w:szCs w:val="20"/>
        </w:rPr>
        <w:t xml:space="preserve">The process will naturally include training sessions and consultations with the inter-agency Joint Support Group, with the Civil Society (including academia, CSOs, labour unions and business associations) and with Government, while maintaining CCA’s nature as UN’s independent and impartial analysis of Mozambique’s critical issues and opportunities for 2022-26. </w:t>
      </w:r>
    </w:p>
    <w:p w14:paraId="054BE745" w14:textId="77777777" w:rsidR="007C630C" w:rsidRPr="00F22F32" w:rsidRDefault="007C630C" w:rsidP="007C630C">
      <w:pPr>
        <w:jc w:val="both"/>
        <w:rPr>
          <w:rFonts w:asciiTheme="majorHAnsi" w:hAnsiTheme="majorHAnsi" w:cstheme="majorHAnsi"/>
          <w:sz w:val="20"/>
          <w:szCs w:val="20"/>
        </w:rPr>
      </w:pPr>
    </w:p>
    <w:p w14:paraId="4BF3EC7A" w14:textId="77777777" w:rsidR="007C630C" w:rsidRPr="00F22F32" w:rsidRDefault="007C630C" w:rsidP="007C630C">
      <w:pPr>
        <w:jc w:val="both"/>
        <w:rPr>
          <w:rFonts w:asciiTheme="majorHAnsi" w:hAnsiTheme="majorHAnsi" w:cstheme="majorHAnsi"/>
          <w:sz w:val="20"/>
          <w:szCs w:val="20"/>
        </w:rPr>
      </w:pPr>
      <w:r w:rsidRPr="00F22F32">
        <w:rPr>
          <w:rFonts w:asciiTheme="majorHAnsi" w:hAnsiTheme="majorHAnsi" w:cstheme="majorHAnsi"/>
          <w:sz w:val="20"/>
          <w:szCs w:val="20"/>
        </w:rPr>
        <w:t>A key risk will be to manage the UN entities’ varying levels of knowledge and attitudes towards UN reform and the new generation CCAs and UNSDCFs (henceforth CF). Three UN entities (Unicef, UNFPA and UNDP) are developing CPDs this year, coincident with the formulation of the CCA and the CF. Many senior staff from UN entities are new to the country.</w:t>
      </w:r>
    </w:p>
    <w:p w14:paraId="67C3D6D0" w14:textId="77777777" w:rsidR="007C630C" w:rsidRPr="00F22F32" w:rsidRDefault="007C630C" w:rsidP="007C630C">
      <w:pPr>
        <w:jc w:val="both"/>
        <w:rPr>
          <w:rFonts w:asciiTheme="majorHAnsi" w:hAnsiTheme="majorHAnsi" w:cstheme="majorHAnsi"/>
          <w:sz w:val="20"/>
          <w:szCs w:val="20"/>
        </w:rPr>
      </w:pPr>
    </w:p>
    <w:p w14:paraId="5F14E93D" w14:textId="4E94E74B" w:rsidR="007C630C" w:rsidRPr="00F22F32" w:rsidRDefault="007C630C" w:rsidP="007C630C">
      <w:pPr>
        <w:jc w:val="both"/>
        <w:rPr>
          <w:rFonts w:asciiTheme="majorHAnsi" w:hAnsiTheme="majorHAnsi" w:cstheme="majorHAnsi"/>
          <w:sz w:val="20"/>
          <w:szCs w:val="20"/>
        </w:rPr>
      </w:pPr>
      <w:r w:rsidRPr="00F22F32">
        <w:rPr>
          <w:rFonts w:asciiTheme="majorHAnsi" w:hAnsiTheme="majorHAnsi" w:cstheme="majorHAnsi"/>
          <w:sz w:val="20"/>
          <w:szCs w:val="20"/>
        </w:rPr>
        <w:t xml:space="preserve">Another key risk comes from the fact that the previous framework (the last UNDAF) was extended by one year. As a </w:t>
      </w:r>
      <w:r w:rsidR="0054071A" w:rsidRPr="00F22F32">
        <w:rPr>
          <w:rFonts w:asciiTheme="majorHAnsi" w:hAnsiTheme="majorHAnsi" w:cstheme="majorHAnsi"/>
          <w:sz w:val="20"/>
          <w:szCs w:val="20"/>
        </w:rPr>
        <w:t>result,</w:t>
      </w:r>
      <w:r w:rsidRPr="00F22F32">
        <w:rPr>
          <w:rFonts w:asciiTheme="majorHAnsi" w:hAnsiTheme="majorHAnsi" w:cstheme="majorHAnsi"/>
          <w:sz w:val="20"/>
          <w:szCs w:val="20"/>
        </w:rPr>
        <w:t xml:space="preserve"> in 2020 the first Volunteer National Review (VNR) took place, yet in the absence of a CF. The Government defined a SDG National Indicator Framework, that excluded SDG 12 and key indicators of other SDGs, in the absence of a strategic design exercise, namely the CF, therefore prior to jointly defining a Results Framework as part of the CF. This will require fine-tuning the SDG National Indicator Framework and the CF so that the nationalization of Agenda 2030 truly reflects strategic priorities. </w:t>
      </w:r>
    </w:p>
    <w:p w14:paraId="4044B6C8" w14:textId="77777777" w:rsidR="007C630C" w:rsidRPr="00F22F32" w:rsidRDefault="007C630C" w:rsidP="007C630C">
      <w:pPr>
        <w:jc w:val="both"/>
        <w:rPr>
          <w:rFonts w:asciiTheme="majorHAnsi" w:hAnsiTheme="majorHAnsi" w:cstheme="majorHAnsi"/>
          <w:sz w:val="20"/>
          <w:szCs w:val="20"/>
        </w:rPr>
      </w:pPr>
    </w:p>
    <w:p w14:paraId="2724E688" w14:textId="77777777" w:rsidR="007C630C" w:rsidRPr="00F22F32" w:rsidRDefault="007C630C" w:rsidP="007C630C">
      <w:pPr>
        <w:jc w:val="both"/>
        <w:rPr>
          <w:rFonts w:asciiTheme="majorHAnsi" w:hAnsiTheme="majorHAnsi" w:cstheme="majorHAnsi"/>
          <w:sz w:val="20"/>
          <w:szCs w:val="20"/>
        </w:rPr>
      </w:pPr>
      <w:r w:rsidRPr="00F22F32">
        <w:rPr>
          <w:rFonts w:asciiTheme="majorHAnsi" w:hAnsiTheme="majorHAnsi" w:cstheme="majorHAnsi"/>
          <w:sz w:val="20"/>
          <w:szCs w:val="20"/>
        </w:rPr>
        <w:t>Relevant UN-internal groups like the M&amp;E group and the Programme Management Group will provide inputs and reviews. The CCA draft will be submitted to UNCT and Regional Peer Support Group for review and endorsement. Thereafter the process for the formulation of the Cooperation Framework (CF) will start.</w:t>
      </w:r>
    </w:p>
    <w:p w14:paraId="768F2021" w14:textId="2500175B" w:rsidR="007C630C" w:rsidRPr="00F22F32" w:rsidRDefault="007C630C" w:rsidP="007C630C">
      <w:pPr>
        <w:jc w:val="both"/>
        <w:rPr>
          <w:rFonts w:asciiTheme="majorHAnsi" w:hAnsiTheme="majorHAnsi" w:cstheme="majorHAnsi"/>
          <w:sz w:val="20"/>
          <w:szCs w:val="20"/>
        </w:rPr>
      </w:pPr>
      <w:r w:rsidRPr="00F22F32">
        <w:rPr>
          <w:rFonts w:asciiTheme="majorHAnsi" w:hAnsiTheme="majorHAnsi" w:cstheme="majorHAnsi"/>
          <w:sz w:val="20"/>
          <w:szCs w:val="20"/>
        </w:rPr>
        <w:t xml:space="preserve">The Government has been generally successful in preventing the expansion of the </w:t>
      </w:r>
      <w:r w:rsidR="00A1456B" w:rsidRPr="00F22F32">
        <w:rPr>
          <w:rFonts w:asciiTheme="majorHAnsi" w:hAnsiTheme="majorHAnsi" w:cstheme="majorHAnsi"/>
          <w:sz w:val="20"/>
          <w:szCs w:val="20"/>
        </w:rPr>
        <w:t>COVID</w:t>
      </w:r>
      <w:r w:rsidRPr="00F22F32">
        <w:rPr>
          <w:rFonts w:asciiTheme="majorHAnsi" w:hAnsiTheme="majorHAnsi" w:cstheme="majorHAnsi"/>
          <w:sz w:val="20"/>
          <w:szCs w:val="20"/>
        </w:rPr>
        <w:t xml:space="preserve">-19 pandemic in Mozambique, with support from international partners, especially in the socioeconomic response. </w:t>
      </w:r>
      <w:r w:rsidR="0054071A" w:rsidRPr="00F22F32">
        <w:rPr>
          <w:rFonts w:asciiTheme="majorHAnsi" w:hAnsiTheme="majorHAnsi" w:cstheme="majorHAnsi"/>
          <w:sz w:val="20"/>
          <w:szCs w:val="20"/>
        </w:rPr>
        <w:t>Nevertheless,</w:t>
      </w:r>
      <w:r w:rsidRPr="00F22F32">
        <w:rPr>
          <w:rFonts w:asciiTheme="majorHAnsi" w:hAnsiTheme="majorHAnsi" w:cstheme="majorHAnsi"/>
          <w:sz w:val="20"/>
          <w:szCs w:val="20"/>
        </w:rPr>
        <w:t xml:space="preserve"> the risk of the pandemic expanding more widely, as it has in neighboring South Africa, remains possible. The roll-out of the vaccine will be key to mitigating the risk of expansion. The country will require support from Covax and other mechanisms (for example ECA) to acquire sufficient vaccines for a relatively large population compared to other countries in the region (30 million in 2020).</w:t>
      </w:r>
    </w:p>
    <w:p w14:paraId="6BD07B1C" w14:textId="77777777" w:rsidR="007C630C" w:rsidRPr="00F22F32" w:rsidRDefault="007C630C" w:rsidP="007C630C">
      <w:pPr>
        <w:jc w:val="both"/>
        <w:rPr>
          <w:rFonts w:asciiTheme="majorHAnsi" w:hAnsiTheme="majorHAnsi" w:cstheme="majorHAnsi"/>
          <w:sz w:val="20"/>
          <w:szCs w:val="20"/>
        </w:rPr>
      </w:pPr>
    </w:p>
    <w:p w14:paraId="380FDB61" w14:textId="1B60047F" w:rsidR="007C630C" w:rsidRPr="00F22F32" w:rsidRDefault="007C630C" w:rsidP="007C630C">
      <w:pPr>
        <w:jc w:val="both"/>
        <w:rPr>
          <w:rFonts w:asciiTheme="majorHAnsi" w:hAnsiTheme="majorHAnsi" w:cstheme="majorHAnsi"/>
          <w:sz w:val="20"/>
          <w:szCs w:val="20"/>
        </w:rPr>
      </w:pPr>
      <w:bookmarkStart w:id="29" w:name="_Hlk70597743"/>
      <w:r w:rsidRPr="00F22F32">
        <w:rPr>
          <w:rFonts w:asciiTheme="majorHAnsi" w:hAnsiTheme="majorHAnsi" w:cstheme="majorHAnsi"/>
          <w:sz w:val="20"/>
          <w:szCs w:val="20"/>
        </w:rPr>
        <w:t xml:space="preserve">Another crucial challenge will be the status of the conflict in Cabo Delgado Province. This has caused a humanitarian crisis and has perpetuated the “crisis mode” the Government and many development partners adopted since the 2019 cyclones, thus forgoing a longer-term sustainable development focus. </w:t>
      </w:r>
      <w:bookmarkEnd w:id="29"/>
      <w:r w:rsidRPr="00F22F32">
        <w:rPr>
          <w:rFonts w:asciiTheme="majorHAnsi" w:hAnsiTheme="majorHAnsi" w:cstheme="majorHAnsi"/>
          <w:sz w:val="20"/>
          <w:szCs w:val="20"/>
        </w:rPr>
        <w:t xml:space="preserve">The Government has signaled interest in support from the EU and the US. However, the role of the Southern African Development Community and of the United Nations will be key to unlock effective and holistic responses to the conflict that </w:t>
      </w:r>
      <w:r w:rsidR="00941674" w:rsidRPr="00F22F32">
        <w:rPr>
          <w:rFonts w:asciiTheme="majorHAnsi" w:hAnsiTheme="majorHAnsi" w:cstheme="majorHAnsi"/>
          <w:sz w:val="20"/>
          <w:szCs w:val="20"/>
        </w:rPr>
        <w:t>consider</w:t>
      </w:r>
      <w:r w:rsidRPr="00F22F32">
        <w:rPr>
          <w:rFonts w:asciiTheme="majorHAnsi" w:hAnsiTheme="majorHAnsi" w:cstheme="majorHAnsi"/>
          <w:sz w:val="20"/>
          <w:szCs w:val="20"/>
        </w:rPr>
        <w:t xml:space="preserve"> both security and socioeconomic dimensions.</w:t>
      </w:r>
    </w:p>
    <w:p w14:paraId="535FFBF8" w14:textId="77777777" w:rsidR="007C630C" w:rsidRPr="00F22F32" w:rsidRDefault="007C630C" w:rsidP="007C630C">
      <w:pPr>
        <w:jc w:val="both"/>
        <w:rPr>
          <w:rFonts w:asciiTheme="majorHAnsi" w:hAnsiTheme="majorHAnsi" w:cstheme="majorHAnsi"/>
          <w:sz w:val="20"/>
          <w:szCs w:val="20"/>
        </w:rPr>
      </w:pPr>
    </w:p>
    <w:p w14:paraId="7F1CFC24" w14:textId="0F62676C" w:rsidR="007C630C" w:rsidRPr="00F22F32" w:rsidRDefault="007C630C" w:rsidP="007C630C">
      <w:pPr>
        <w:jc w:val="both"/>
        <w:rPr>
          <w:rFonts w:asciiTheme="majorHAnsi" w:hAnsiTheme="majorHAnsi" w:cstheme="majorHAnsi"/>
          <w:sz w:val="20"/>
          <w:szCs w:val="20"/>
        </w:rPr>
      </w:pPr>
      <w:r w:rsidRPr="00F22F32">
        <w:rPr>
          <w:rFonts w:asciiTheme="majorHAnsi" w:hAnsiTheme="majorHAnsi" w:cstheme="majorHAnsi"/>
          <w:sz w:val="20"/>
          <w:szCs w:val="20"/>
        </w:rPr>
        <w:t>Despite a relatively contained impact of the</w:t>
      </w:r>
      <w:r w:rsidR="00A1456B" w:rsidRPr="00F22F32">
        <w:rPr>
          <w:rFonts w:asciiTheme="majorHAnsi" w:hAnsiTheme="majorHAnsi" w:cstheme="majorHAnsi"/>
          <w:sz w:val="20"/>
          <w:szCs w:val="20"/>
        </w:rPr>
        <w:t xml:space="preserve"> COVID</w:t>
      </w:r>
      <w:r w:rsidRPr="00F22F32">
        <w:rPr>
          <w:rFonts w:asciiTheme="majorHAnsi" w:hAnsiTheme="majorHAnsi" w:cstheme="majorHAnsi"/>
          <w:sz w:val="20"/>
          <w:szCs w:val="20"/>
        </w:rPr>
        <w:t xml:space="preserve">-19 pandemic on the population, Mozambique’s vulnerability to global commodity prices and the slump in global demand resulted in a fall of exports (extractives, manufacturing and agricultural) and confinement measures hit the services sector hard. The economy performed well below forecasts by the IMF and WB, shrinking by 1.3% in 2020 and poverty has been estimated to increase, especially urban poverty, as well as unemployment in urban and peri-urban areas, especially the informal sector. In 2021, recovery of the external sector will hinge on the speed of vaccination </w:t>
      </w:r>
      <w:r w:rsidR="0054071A" w:rsidRPr="00F22F32">
        <w:rPr>
          <w:rFonts w:asciiTheme="majorHAnsi" w:hAnsiTheme="majorHAnsi" w:cstheme="majorHAnsi"/>
          <w:sz w:val="20"/>
          <w:szCs w:val="20"/>
        </w:rPr>
        <w:t>rollouts</w:t>
      </w:r>
      <w:r w:rsidRPr="00F22F32">
        <w:rPr>
          <w:rFonts w:asciiTheme="majorHAnsi" w:hAnsiTheme="majorHAnsi" w:cstheme="majorHAnsi"/>
          <w:sz w:val="20"/>
          <w:szCs w:val="20"/>
        </w:rPr>
        <w:t xml:space="preserve"> worldwide to steer global demand. Likewise, the domestic services sector is likely to depend on vaccination roll-</w:t>
      </w:r>
      <w:r w:rsidR="0054071A" w:rsidRPr="00F22F32">
        <w:rPr>
          <w:rFonts w:asciiTheme="majorHAnsi" w:hAnsiTheme="majorHAnsi" w:cstheme="majorHAnsi"/>
          <w:sz w:val="20"/>
          <w:szCs w:val="20"/>
        </w:rPr>
        <w:t>out,</w:t>
      </w:r>
      <w:r w:rsidRPr="00F22F32">
        <w:rPr>
          <w:rFonts w:asciiTheme="majorHAnsi" w:hAnsiTheme="majorHAnsi" w:cstheme="majorHAnsi"/>
          <w:sz w:val="20"/>
          <w:szCs w:val="20"/>
        </w:rPr>
        <w:t xml:space="preserve"> yet the country has not reported to have adequate vaccines stocks.</w:t>
      </w:r>
    </w:p>
    <w:p w14:paraId="1601F0C2" w14:textId="77777777" w:rsidR="007C630C" w:rsidRPr="00F22F32" w:rsidRDefault="007C630C" w:rsidP="007C630C">
      <w:pPr>
        <w:jc w:val="both"/>
        <w:rPr>
          <w:rFonts w:asciiTheme="majorHAnsi" w:hAnsiTheme="majorHAnsi" w:cstheme="majorHAnsi"/>
          <w:sz w:val="20"/>
          <w:szCs w:val="20"/>
        </w:rPr>
      </w:pPr>
    </w:p>
    <w:p w14:paraId="637E09BB" w14:textId="5B76480C" w:rsidR="007C630C" w:rsidRPr="00F22F32" w:rsidRDefault="007C630C" w:rsidP="007C630C">
      <w:pPr>
        <w:jc w:val="both"/>
        <w:rPr>
          <w:rFonts w:asciiTheme="majorHAnsi" w:hAnsiTheme="majorHAnsi" w:cstheme="majorHAnsi"/>
          <w:sz w:val="20"/>
          <w:szCs w:val="20"/>
        </w:rPr>
      </w:pPr>
      <w:r w:rsidRPr="00F22F32">
        <w:rPr>
          <w:rFonts w:asciiTheme="majorHAnsi" w:hAnsiTheme="majorHAnsi" w:cstheme="majorHAnsi"/>
          <w:sz w:val="20"/>
          <w:szCs w:val="20"/>
        </w:rPr>
        <w:t>The combination of multiple shocks (C</w:t>
      </w:r>
      <w:r w:rsidR="00A1456B" w:rsidRPr="00F22F32">
        <w:rPr>
          <w:rFonts w:asciiTheme="majorHAnsi" w:hAnsiTheme="majorHAnsi" w:cstheme="majorHAnsi"/>
          <w:sz w:val="20"/>
          <w:szCs w:val="20"/>
        </w:rPr>
        <w:t>OVID</w:t>
      </w:r>
      <w:r w:rsidRPr="00F22F32">
        <w:rPr>
          <w:rFonts w:asciiTheme="majorHAnsi" w:hAnsiTheme="majorHAnsi" w:cstheme="majorHAnsi"/>
          <w:sz w:val="20"/>
          <w:szCs w:val="20"/>
        </w:rPr>
        <w:t xml:space="preserve">-19, aggravating conflict, economic recession and one of the highest debt-to-GDP ratios in Africa triggered by the illicit issuance of debt by the previous Government) has uncovered the extent of the vulnerability of the country. Moreover, the country is one of the most vulnerable to extreme weather events triggered by climate change. A chronic short-term focus has not allowed the country to develop the </w:t>
      </w:r>
      <w:r w:rsidRPr="00F22F32">
        <w:rPr>
          <w:rFonts w:asciiTheme="majorHAnsi" w:hAnsiTheme="majorHAnsi" w:cstheme="majorHAnsi"/>
          <w:sz w:val="20"/>
          <w:szCs w:val="20"/>
        </w:rPr>
        <w:t xml:space="preserve">longer-term resilience and prevention capabilities it requires to cope with natural disasters. In 2020 the country was spared of large-scale natural disasters. However, should a natural disaster occur in 2021 it would add to the pressure from multiple concurrent shocks. There is a considerable risk of economic breakdown and ensuing social instability. </w:t>
      </w:r>
    </w:p>
    <w:p w14:paraId="13DC1EA4" w14:textId="7E903EE2" w:rsidR="008016CE" w:rsidRPr="00F22F32" w:rsidRDefault="008016CE" w:rsidP="007C630C">
      <w:pPr>
        <w:jc w:val="both"/>
        <w:rPr>
          <w:lang w:bidi="ar-SA"/>
        </w:rPr>
      </w:pPr>
    </w:p>
    <w:p w14:paraId="603D28FF" w14:textId="6242A11D" w:rsidR="009032B1" w:rsidRDefault="009032B1">
      <w:pPr>
        <w:widowControl/>
        <w:autoSpaceDE/>
        <w:autoSpaceDN/>
        <w:spacing w:after="160" w:line="259" w:lineRule="auto"/>
        <w:rPr>
          <w:lang w:bidi="ar-SA"/>
        </w:rPr>
      </w:pPr>
      <w:r>
        <w:rPr>
          <w:lang w:bidi="ar-SA"/>
        </w:rPr>
        <w:br w:type="page"/>
      </w:r>
    </w:p>
    <w:p w14:paraId="6FD6BCFD" w14:textId="77777777" w:rsidR="00687C14" w:rsidRDefault="00687C14" w:rsidP="008016CE">
      <w:pPr>
        <w:rPr>
          <w:lang w:bidi="ar-SA"/>
        </w:rPr>
        <w:sectPr w:rsidR="00687C14" w:rsidSect="00687C14">
          <w:type w:val="continuous"/>
          <w:pgSz w:w="12240" w:h="15840"/>
          <w:pgMar w:top="1440" w:right="1440" w:bottom="1440" w:left="1440" w:header="720" w:footer="720" w:gutter="0"/>
          <w:pgNumType w:start="0"/>
          <w:cols w:num="2" w:space="720"/>
          <w:titlePg/>
          <w:docGrid w:linePitch="360"/>
        </w:sectPr>
      </w:pPr>
    </w:p>
    <w:p w14:paraId="6DA4F6D2" w14:textId="0BA90FFB" w:rsidR="008016CE" w:rsidRPr="00F22F32" w:rsidRDefault="008016CE" w:rsidP="008016CE">
      <w:pPr>
        <w:rPr>
          <w:lang w:bidi="ar-SA"/>
        </w:rPr>
      </w:pPr>
    </w:p>
    <w:p w14:paraId="6DB38EBF" w14:textId="0FC27BAA" w:rsidR="00BA0A4E" w:rsidRPr="00F22F32" w:rsidRDefault="008016CE" w:rsidP="009E7B7D">
      <w:pPr>
        <w:pStyle w:val="Heading1"/>
        <w:numPr>
          <w:ilvl w:val="0"/>
          <w:numId w:val="51"/>
        </w:numPr>
        <w:rPr>
          <w:rFonts w:cstheme="majorHAnsi"/>
          <w:b/>
          <w:bCs/>
          <w:color w:val="auto"/>
          <w:w w:val="95"/>
          <w:sz w:val="36"/>
          <w:szCs w:val="36"/>
        </w:rPr>
      </w:pPr>
      <w:bookmarkStart w:id="30" w:name="_Toc71207084"/>
      <w:r w:rsidRPr="00F22F32">
        <w:rPr>
          <w:rFonts w:cstheme="majorHAnsi"/>
          <w:b/>
          <w:bCs/>
          <w:color w:val="auto"/>
          <w:w w:val="95"/>
          <w:sz w:val="36"/>
          <w:szCs w:val="36"/>
        </w:rPr>
        <w:t>Annexes</w:t>
      </w:r>
      <w:bookmarkEnd w:id="30"/>
    </w:p>
    <w:p w14:paraId="330EDE55" w14:textId="110E5DBB" w:rsidR="008016CE" w:rsidRPr="00F22F32" w:rsidRDefault="003D0A9C" w:rsidP="007626F3">
      <w:pPr>
        <w:pStyle w:val="Heading2"/>
        <w:numPr>
          <w:ilvl w:val="0"/>
          <w:numId w:val="58"/>
        </w:numPr>
        <w:rPr>
          <w:color w:val="auto"/>
        </w:rPr>
      </w:pPr>
      <w:bookmarkStart w:id="31" w:name="_Toc71207085"/>
      <w:r w:rsidRPr="00F22F32">
        <w:rPr>
          <w:color w:val="auto"/>
        </w:rPr>
        <w:t>Indicators Performance</w:t>
      </w:r>
      <w:bookmarkEnd w:id="31"/>
    </w:p>
    <w:tbl>
      <w:tblPr>
        <w:tblStyle w:val="TableGrid"/>
        <w:tblW w:w="0" w:type="auto"/>
        <w:tblLayout w:type="fixed"/>
        <w:tblLook w:val="06A0" w:firstRow="1" w:lastRow="0" w:firstColumn="1" w:lastColumn="0" w:noHBand="1" w:noVBand="1"/>
      </w:tblPr>
      <w:tblGrid>
        <w:gridCol w:w="3120"/>
        <w:gridCol w:w="1275"/>
        <w:gridCol w:w="855"/>
        <w:gridCol w:w="930"/>
        <w:gridCol w:w="1080"/>
        <w:gridCol w:w="1125"/>
        <w:gridCol w:w="1110"/>
      </w:tblGrid>
      <w:tr w:rsidR="00F22F32" w:rsidRPr="00F22F32" w14:paraId="79BC9594" w14:textId="77777777" w:rsidTr="00466A42">
        <w:trPr>
          <w:trHeight w:val="870"/>
        </w:trPr>
        <w:tc>
          <w:tcPr>
            <w:tcW w:w="3120" w:type="dxa"/>
            <w:tcBorders>
              <w:top w:val="single" w:sz="4" w:space="0" w:color="auto"/>
              <w:left w:val="single" w:sz="4" w:space="0" w:color="auto"/>
              <w:bottom w:val="single" w:sz="4" w:space="0" w:color="auto"/>
              <w:right w:val="single" w:sz="4" w:space="0" w:color="auto"/>
            </w:tcBorders>
            <w:shd w:val="clear" w:color="auto" w:fill="5B9BD5" w:themeFill="accent5"/>
            <w:vAlign w:val="bottom"/>
          </w:tcPr>
          <w:p w14:paraId="702E9245" w14:textId="2696ED6A" w:rsidR="4AD22BCB" w:rsidRPr="00F22F32" w:rsidRDefault="4AD22BCB">
            <w:pPr>
              <w:rPr>
                <w:color w:val="FFFFFF" w:themeColor="background1"/>
              </w:rPr>
            </w:pPr>
            <w:r w:rsidRPr="00F22F32">
              <w:rPr>
                <w:rFonts w:ascii="Calibri" w:eastAsia="Calibri" w:hAnsi="Calibri" w:cs="Calibri"/>
                <w:b/>
                <w:bCs/>
                <w:color w:val="FFFFFF" w:themeColor="background1"/>
              </w:rPr>
              <w:t>Result Group</w:t>
            </w:r>
          </w:p>
        </w:tc>
        <w:tc>
          <w:tcPr>
            <w:tcW w:w="1275" w:type="dxa"/>
            <w:tcBorders>
              <w:top w:val="single" w:sz="4" w:space="0" w:color="auto"/>
              <w:left w:val="single" w:sz="4" w:space="0" w:color="auto"/>
              <w:bottom w:val="single" w:sz="4" w:space="0" w:color="auto"/>
              <w:right w:val="single" w:sz="4" w:space="0" w:color="auto"/>
            </w:tcBorders>
            <w:shd w:val="clear" w:color="auto" w:fill="5B9BD5" w:themeFill="accent5"/>
            <w:vAlign w:val="bottom"/>
          </w:tcPr>
          <w:p w14:paraId="70CBA4A0" w14:textId="266EB560" w:rsidR="4AD22BCB" w:rsidRPr="00F22F32" w:rsidRDefault="4AD22BCB">
            <w:pPr>
              <w:rPr>
                <w:color w:val="FFFFFF" w:themeColor="background1"/>
              </w:rPr>
            </w:pPr>
            <w:r w:rsidRPr="00F22F32">
              <w:rPr>
                <w:rFonts w:ascii="Calibri" w:eastAsia="Calibri" w:hAnsi="Calibri" w:cs="Calibri"/>
                <w:b/>
                <w:bCs/>
                <w:color w:val="FFFFFF" w:themeColor="background1"/>
              </w:rPr>
              <w:t>Number of  Indicators</w:t>
            </w:r>
          </w:p>
        </w:tc>
        <w:tc>
          <w:tcPr>
            <w:tcW w:w="855" w:type="dxa"/>
            <w:tcBorders>
              <w:top w:val="single" w:sz="4" w:space="0" w:color="auto"/>
              <w:left w:val="single" w:sz="4" w:space="0" w:color="auto"/>
              <w:bottom w:val="single" w:sz="4" w:space="0" w:color="auto"/>
              <w:right w:val="single" w:sz="4" w:space="0" w:color="auto"/>
            </w:tcBorders>
            <w:shd w:val="clear" w:color="auto" w:fill="5B9BD5" w:themeFill="accent5"/>
            <w:vAlign w:val="bottom"/>
          </w:tcPr>
          <w:p w14:paraId="6EC9F371" w14:textId="751A2B07" w:rsidR="4AD22BCB" w:rsidRPr="00F22F32" w:rsidRDefault="4AD22BCB">
            <w:pPr>
              <w:rPr>
                <w:color w:val="FFFFFF" w:themeColor="background1"/>
              </w:rPr>
            </w:pPr>
            <w:r w:rsidRPr="00F22F32">
              <w:rPr>
                <w:rFonts w:ascii="Calibri" w:eastAsia="Calibri" w:hAnsi="Calibri" w:cs="Calibri"/>
                <w:b/>
                <w:bCs/>
                <w:color w:val="FFFFFF" w:themeColor="background1"/>
              </w:rPr>
              <w:t>Report Rate</w:t>
            </w:r>
          </w:p>
        </w:tc>
        <w:tc>
          <w:tcPr>
            <w:tcW w:w="930" w:type="dxa"/>
            <w:tcBorders>
              <w:top w:val="single" w:sz="4" w:space="0" w:color="auto"/>
              <w:left w:val="single" w:sz="4" w:space="0" w:color="auto"/>
              <w:bottom w:val="single" w:sz="4" w:space="0" w:color="auto"/>
              <w:right w:val="single" w:sz="4" w:space="0" w:color="auto"/>
            </w:tcBorders>
            <w:shd w:val="clear" w:color="auto" w:fill="5B9BD5" w:themeFill="accent5"/>
            <w:vAlign w:val="bottom"/>
          </w:tcPr>
          <w:p w14:paraId="3FC7E089" w14:textId="15E9D156" w:rsidR="4AD22BCB" w:rsidRPr="00F22F32" w:rsidRDefault="4AD22BCB">
            <w:pPr>
              <w:rPr>
                <w:color w:val="FFFFFF" w:themeColor="background1"/>
              </w:rPr>
            </w:pPr>
            <w:r w:rsidRPr="00F22F32">
              <w:rPr>
                <w:rFonts w:ascii="Calibri" w:eastAsia="Calibri" w:hAnsi="Calibri" w:cs="Calibri"/>
                <w:b/>
                <w:bCs/>
                <w:color w:val="FFFFFF" w:themeColor="background1"/>
              </w:rPr>
              <w:t>Low (Below 50%)</w:t>
            </w:r>
          </w:p>
        </w:tc>
        <w:tc>
          <w:tcPr>
            <w:tcW w:w="1080" w:type="dxa"/>
            <w:tcBorders>
              <w:top w:val="single" w:sz="4" w:space="0" w:color="auto"/>
              <w:left w:val="single" w:sz="4" w:space="0" w:color="auto"/>
              <w:bottom w:val="single" w:sz="4" w:space="0" w:color="auto"/>
              <w:right w:val="single" w:sz="4" w:space="0" w:color="auto"/>
            </w:tcBorders>
            <w:shd w:val="clear" w:color="auto" w:fill="5B9BD5" w:themeFill="accent5"/>
            <w:vAlign w:val="bottom"/>
          </w:tcPr>
          <w:p w14:paraId="34F71890" w14:textId="7AE752CF" w:rsidR="4AD22BCB" w:rsidRPr="00F22F32" w:rsidRDefault="4AD22BCB">
            <w:pPr>
              <w:rPr>
                <w:color w:val="FFFFFF" w:themeColor="background1"/>
              </w:rPr>
            </w:pPr>
            <w:r w:rsidRPr="00F22F32">
              <w:rPr>
                <w:rFonts w:ascii="Calibri" w:eastAsia="Calibri" w:hAnsi="Calibri" w:cs="Calibri"/>
                <w:b/>
                <w:bCs/>
                <w:color w:val="FFFFFF" w:themeColor="background1"/>
              </w:rPr>
              <w:t>Average (50%-90%)</w:t>
            </w:r>
          </w:p>
        </w:tc>
        <w:tc>
          <w:tcPr>
            <w:tcW w:w="1125" w:type="dxa"/>
            <w:tcBorders>
              <w:top w:val="single" w:sz="4" w:space="0" w:color="auto"/>
              <w:left w:val="single" w:sz="4" w:space="0" w:color="auto"/>
              <w:bottom w:val="single" w:sz="4" w:space="0" w:color="auto"/>
              <w:right w:val="single" w:sz="4" w:space="0" w:color="auto"/>
            </w:tcBorders>
            <w:shd w:val="clear" w:color="auto" w:fill="5B9BD5" w:themeFill="accent5"/>
            <w:vAlign w:val="bottom"/>
          </w:tcPr>
          <w:p w14:paraId="06348B67" w14:textId="6712A313" w:rsidR="4AD22BCB" w:rsidRPr="00F22F32" w:rsidRDefault="4AD22BCB">
            <w:pPr>
              <w:rPr>
                <w:color w:val="FFFFFF" w:themeColor="background1"/>
              </w:rPr>
            </w:pPr>
            <w:r w:rsidRPr="00F22F32">
              <w:rPr>
                <w:rFonts w:ascii="Calibri" w:eastAsia="Calibri" w:hAnsi="Calibri" w:cs="Calibri"/>
                <w:b/>
                <w:bCs/>
                <w:color w:val="FFFFFF" w:themeColor="background1"/>
              </w:rPr>
              <w:t>Good (90%-100%)</w:t>
            </w:r>
          </w:p>
        </w:tc>
        <w:tc>
          <w:tcPr>
            <w:tcW w:w="1110" w:type="dxa"/>
            <w:tcBorders>
              <w:top w:val="single" w:sz="4" w:space="0" w:color="auto"/>
              <w:left w:val="single" w:sz="4" w:space="0" w:color="auto"/>
              <w:bottom w:val="single" w:sz="4" w:space="0" w:color="auto"/>
              <w:right w:val="single" w:sz="4" w:space="0" w:color="auto"/>
            </w:tcBorders>
            <w:shd w:val="clear" w:color="auto" w:fill="5B9BD5" w:themeFill="accent5"/>
            <w:vAlign w:val="bottom"/>
          </w:tcPr>
          <w:p w14:paraId="60FCAEF9" w14:textId="2B5516DA" w:rsidR="4AD22BCB" w:rsidRPr="00F22F32" w:rsidRDefault="4AD22BCB">
            <w:pPr>
              <w:rPr>
                <w:color w:val="FFFFFF" w:themeColor="background1"/>
              </w:rPr>
            </w:pPr>
            <w:r w:rsidRPr="00F22F32">
              <w:rPr>
                <w:rFonts w:ascii="Calibri" w:eastAsia="Calibri" w:hAnsi="Calibri" w:cs="Calibri"/>
                <w:b/>
                <w:bCs/>
                <w:color w:val="FFFFFF" w:themeColor="background1"/>
              </w:rPr>
              <w:t>Excelent (above 100%)</w:t>
            </w:r>
          </w:p>
        </w:tc>
      </w:tr>
      <w:tr w:rsidR="00F22F32" w:rsidRPr="00F22F32" w14:paraId="6B755175" w14:textId="77777777" w:rsidTr="4AD22BCB">
        <w:trPr>
          <w:trHeight w:val="285"/>
        </w:trPr>
        <w:tc>
          <w:tcPr>
            <w:tcW w:w="3120" w:type="dxa"/>
            <w:tcBorders>
              <w:top w:val="single" w:sz="4" w:space="0" w:color="auto"/>
              <w:left w:val="single" w:sz="4" w:space="0" w:color="auto"/>
              <w:bottom w:val="single" w:sz="4" w:space="0" w:color="auto"/>
              <w:right w:val="single" w:sz="4" w:space="0" w:color="auto"/>
            </w:tcBorders>
            <w:vAlign w:val="bottom"/>
          </w:tcPr>
          <w:p w14:paraId="4FE0BD56" w14:textId="563E653F" w:rsidR="4AD22BCB" w:rsidRPr="00F22F32" w:rsidRDefault="4AD22BCB" w:rsidP="4AD22BCB">
            <w:r w:rsidRPr="00F22F32">
              <w:rPr>
                <w:rFonts w:ascii="Calibri" w:eastAsia="Calibri" w:hAnsi="Calibri" w:cs="Calibri"/>
              </w:rPr>
              <w:t>Food Security and Nutrition</w:t>
            </w:r>
          </w:p>
        </w:tc>
        <w:tc>
          <w:tcPr>
            <w:tcW w:w="1275" w:type="dxa"/>
            <w:tcBorders>
              <w:top w:val="single" w:sz="4" w:space="0" w:color="auto"/>
              <w:left w:val="single" w:sz="4" w:space="0" w:color="auto"/>
              <w:bottom w:val="single" w:sz="4" w:space="0" w:color="auto"/>
              <w:right w:val="single" w:sz="4" w:space="0" w:color="auto"/>
            </w:tcBorders>
            <w:vAlign w:val="bottom"/>
          </w:tcPr>
          <w:p w14:paraId="488B1315" w14:textId="3ACECA95" w:rsidR="4AD22BCB" w:rsidRPr="00F22F32" w:rsidRDefault="4AD22BCB">
            <w:r w:rsidRPr="00F22F32">
              <w:rPr>
                <w:rFonts w:ascii="Calibri" w:eastAsia="Calibri" w:hAnsi="Calibri" w:cs="Calibri"/>
              </w:rPr>
              <w:t>20</w:t>
            </w:r>
          </w:p>
        </w:tc>
        <w:tc>
          <w:tcPr>
            <w:tcW w:w="855" w:type="dxa"/>
            <w:tcBorders>
              <w:top w:val="single" w:sz="4" w:space="0" w:color="auto"/>
              <w:left w:val="single" w:sz="4" w:space="0" w:color="auto"/>
              <w:bottom w:val="single" w:sz="4" w:space="0" w:color="auto"/>
              <w:right w:val="single" w:sz="4" w:space="0" w:color="auto"/>
            </w:tcBorders>
            <w:vAlign w:val="bottom"/>
          </w:tcPr>
          <w:p w14:paraId="6D5CFC7A" w14:textId="707055F0" w:rsidR="4AD22BCB" w:rsidRPr="00F22F32" w:rsidRDefault="4AD22BCB">
            <w:r w:rsidRPr="00F22F32">
              <w:rPr>
                <w:rFonts w:ascii="Calibri" w:eastAsia="Calibri" w:hAnsi="Calibri" w:cs="Calibri"/>
              </w:rPr>
              <w:t>75%</w:t>
            </w:r>
          </w:p>
        </w:tc>
        <w:tc>
          <w:tcPr>
            <w:tcW w:w="930" w:type="dxa"/>
            <w:tcBorders>
              <w:top w:val="single" w:sz="4" w:space="0" w:color="auto"/>
              <w:left w:val="single" w:sz="4" w:space="0" w:color="auto"/>
              <w:bottom w:val="single" w:sz="4" w:space="0" w:color="auto"/>
              <w:right w:val="single" w:sz="4" w:space="0" w:color="auto"/>
            </w:tcBorders>
            <w:shd w:val="clear" w:color="auto" w:fill="FF4B4B"/>
            <w:vAlign w:val="bottom"/>
          </w:tcPr>
          <w:p w14:paraId="3DFB8FAC" w14:textId="0D2F2B19" w:rsidR="4AD22BCB" w:rsidRPr="00F22F32" w:rsidRDefault="4AD22BCB">
            <w:r w:rsidRPr="00F22F32">
              <w:rPr>
                <w:rFonts w:ascii="Calibri" w:eastAsia="Calibri" w:hAnsi="Calibri" w:cs="Calibri"/>
              </w:rPr>
              <w:t>27%</w:t>
            </w:r>
          </w:p>
        </w:tc>
        <w:tc>
          <w:tcPr>
            <w:tcW w:w="1080" w:type="dxa"/>
            <w:tcBorders>
              <w:top w:val="single" w:sz="4" w:space="0" w:color="auto"/>
              <w:left w:val="single" w:sz="4" w:space="0" w:color="auto"/>
              <w:bottom w:val="single" w:sz="4" w:space="0" w:color="auto"/>
              <w:right w:val="single" w:sz="4" w:space="0" w:color="auto"/>
            </w:tcBorders>
            <w:shd w:val="clear" w:color="auto" w:fill="FFC000" w:themeFill="accent4"/>
            <w:vAlign w:val="bottom"/>
          </w:tcPr>
          <w:p w14:paraId="39C3E3C9" w14:textId="32BFE6C9" w:rsidR="4AD22BCB" w:rsidRPr="00F22F32" w:rsidRDefault="4AD22BCB">
            <w:r w:rsidRPr="00F22F32">
              <w:rPr>
                <w:rFonts w:ascii="Calibri" w:eastAsia="Calibri" w:hAnsi="Calibri" w:cs="Calibri"/>
              </w:rPr>
              <w:t>7%</w:t>
            </w:r>
          </w:p>
        </w:tc>
        <w:tc>
          <w:tcPr>
            <w:tcW w:w="1125" w:type="dxa"/>
            <w:tcBorders>
              <w:top w:val="single" w:sz="4" w:space="0" w:color="auto"/>
              <w:left w:val="single" w:sz="4" w:space="0" w:color="auto"/>
              <w:bottom w:val="single" w:sz="4" w:space="0" w:color="auto"/>
              <w:right w:val="single" w:sz="4" w:space="0" w:color="auto"/>
            </w:tcBorders>
            <w:shd w:val="clear" w:color="auto" w:fill="00B050"/>
            <w:vAlign w:val="bottom"/>
          </w:tcPr>
          <w:p w14:paraId="5595524D" w14:textId="745AEF4D" w:rsidR="4AD22BCB" w:rsidRPr="00F22F32" w:rsidRDefault="4AD22BCB">
            <w:r w:rsidRPr="00F22F32">
              <w:rPr>
                <w:rFonts w:ascii="Calibri" w:eastAsia="Calibri" w:hAnsi="Calibri" w:cs="Calibri"/>
              </w:rPr>
              <w:t>7%</w:t>
            </w:r>
          </w:p>
        </w:tc>
        <w:tc>
          <w:tcPr>
            <w:tcW w:w="1110" w:type="dxa"/>
            <w:tcBorders>
              <w:top w:val="single" w:sz="4" w:space="0" w:color="auto"/>
              <w:left w:val="single" w:sz="4" w:space="0" w:color="auto"/>
              <w:bottom w:val="single" w:sz="4" w:space="0" w:color="auto"/>
              <w:right w:val="single" w:sz="4" w:space="0" w:color="auto"/>
            </w:tcBorders>
            <w:shd w:val="clear" w:color="auto" w:fill="00B0F0"/>
            <w:vAlign w:val="bottom"/>
          </w:tcPr>
          <w:p w14:paraId="05494F50" w14:textId="5E3EE4FD" w:rsidR="4AD22BCB" w:rsidRPr="00F22F32" w:rsidRDefault="4AD22BCB">
            <w:r w:rsidRPr="00F22F32">
              <w:rPr>
                <w:rFonts w:ascii="Calibri" w:eastAsia="Calibri" w:hAnsi="Calibri" w:cs="Calibri"/>
              </w:rPr>
              <w:t>60%</w:t>
            </w:r>
          </w:p>
        </w:tc>
      </w:tr>
      <w:tr w:rsidR="00F22F32" w:rsidRPr="00F22F32" w14:paraId="680DF6F5" w14:textId="77777777" w:rsidTr="4AD22BCB">
        <w:trPr>
          <w:trHeight w:val="285"/>
        </w:trPr>
        <w:tc>
          <w:tcPr>
            <w:tcW w:w="3120" w:type="dxa"/>
            <w:tcBorders>
              <w:top w:val="single" w:sz="4" w:space="0" w:color="auto"/>
              <w:left w:val="single" w:sz="4" w:space="0" w:color="auto"/>
              <w:bottom w:val="single" w:sz="4" w:space="0" w:color="auto"/>
              <w:right w:val="single" w:sz="4" w:space="0" w:color="auto"/>
            </w:tcBorders>
            <w:vAlign w:val="bottom"/>
          </w:tcPr>
          <w:p w14:paraId="2BAA9905" w14:textId="6A650AD1" w:rsidR="4AD22BCB" w:rsidRPr="00F22F32" w:rsidRDefault="4AD22BCB" w:rsidP="4AD22BCB">
            <w:r w:rsidRPr="00F22F32">
              <w:rPr>
                <w:rFonts w:ascii="Calibri" w:eastAsia="Calibri" w:hAnsi="Calibri" w:cs="Calibri"/>
              </w:rPr>
              <w:t>Economic transformation</w:t>
            </w:r>
          </w:p>
        </w:tc>
        <w:tc>
          <w:tcPr>
            <w:tcW w:w="1275" w:type="dxa"/>
            <w:tcBorders>
              <w:top w:val="single" w:sz="4" w:space="0" w:color="auto"/>
              <w:left w:val="single" w:sz="4" w:space="0" w:color="auto"/>
              <w:bottom w:val="single" w:sz="4" w:space="0" w:color="auto"/>
              <w:right w:val="single" w:sz="4" w:space="0" w:color="auto"/>
            </w:tcBorders>
            <w:vAlign w:val="bottom"/>
          </w:tcPr>
          <w:p w14:paraId="51136D3A" w14:textId="709A157F" w:rsidR="4AD22BCB" w:rsidRPr="00F22F32" w:rsidRDefault="4AD22BCB">
            <w:r w:rsidRPr="00F22F32">
              <w:rPr>
                <w:rFonts w:ascii="Calibri" w:eastAsia="Calibri" w:hAnsi="Calibri" w:cs="Calibri"/>
              </w:rPr>
              <w:t>16</w:t>
            </w:r>
          </w:p>
        </w:tc>
        <w:tc>
          <w:tcPr>
            <w:tcW w:w="855" w:type="dxa"/>
            <w:tcBorders>
              <w:top w:val="single" w:sz="4" w:space="0" w:color="auto"/>
              <w:left w:val="single" w:sz="4" w:space="0" w:color="auto"/>
              <w:bottom w:val="single" w:sz="4" w:space="0" w:color="auto"/>
              <w:right w:val="single" w:sz="4" w:space="0" w:color="auto"/>
            </w:tcBorders>
            <w:vAlign w:val="bottom"/>
          </w:tcPr>
          <w:p w14:paraId="30B70766" w14:textId="7AAE4733" w:rsidR="4AD22BCB" w:rsidRPr="00F22F32" w:rsidRDefault="4AD22BCB">
            <w:r w:rsidRPr="00F22F32">
              <w:rPr>
                <w:rFonts w:ascii="Calibri" w:eastAsia="Calibri" w:hAnsi="Calibri" w:cs="Calibri"/>
              </w:rPr>
              <w:t>44%</w:t>
            </w:r>
          </w:p>
        </w:tc>
        <w:tc>
          <w:tcPr>
            <w:tcW w:w="930" w:type="dxa"/>
            <w:tcBorders>
              <w:top w:val="single" w:sz="4" w:space="0" w:color="auto"/>
              <w:left w:val="single" w:sz="4" w:space="0" w:color="auto"/>
              <w:bottom w:val="single" w:sz="4" w:space="0" w:color="auto"/>
              <w:right w:val="single" w:sz="4" w:space="0" w:color="auto"/>
            </w:tcBorders>
            <w:shd w:val="clear" w:color="auto" w:fill="FF4B4B"/>
            <w:vAlign w:val="bottom"/>
          </w:tcPr>
          <w:p w14:paraId="4874E41C" w14:textId="51F589F2" w:rsidR="4AD22BCB" w:rsidRPr="00F22F32" w:rsidRDefault="4AD22BCB">
            <w:r w:rsidRPr="00F22F32">
              <w:rPr>
                <w:rFonts w:ascii="Calibri" w:eastAsia="Calibri" w:hAnsi="Calibri" w:cs="Calibri"/>
              </w:rPr>
              <w:t>29%</w:t>
            </w:r>
          </w:p>
        </w:tc>
        <w:tc>
          <w:tcPr>
            <w:tcW w:w="1080" w:type="dxa"/>
            <w:tcBorders>
              <w:top w:val="single" w:sz="4" w:space="0" w:color="auto"/>
              <w:left w:val="single" w:sz="4" w:space="0" w:color="auto"/>
              <w:bottom w:val="single" w:sz="4" w:space="0" w:color="auto"/>
              <w:right w:val="single" w:sz="4" w:space="0" w:color="auto"/>
            </w:tcBorders>
            <w:shd w:val="clear" w:color="auto" w:fill="FFC000" w:themeFill="accent4"/>
            <w:vAlign w:val="bottom"/>
          </w:tcPr>
          <w:p w14:paraId="48062A59" w14:textId="1BE64BF1" w:rsidR="4AD22BCB" w:rsidRPr="00F22F32" w:rsidRDefault="4AD22BCB">
            <w:r w:rsidRPr="00F22F32">
              <w:rPr>
                <w:rFonts w:ascii="Calibri" w:eastAsia="Calibri" w:hAnsi="Calibri" w:cs="Calibri"/>
              </w:rPr>
              <w:t>14%</w:t>
            </w:r>
          </w:p>
        </w:tc>
        <w:tc>
          <w:tcPr>
            <w:tcW w:w="1125" w:type="dxa"/>
            <w:tcBorders>
              <w:top w:val="single" w:sz="4" w:space="0" w:color="auto"/>
              <w:left w:val="single" w:sz="4" w:space="0" w:color="auto"/>
              <w:bottom w:val="single" w:sz="4" w:space="0" w:color="auto"/>
              <w:right w:val="single" w:sz="4" w:space="0" w:color="auto"/>
            </w:tcBorders>
            <w:shd w:val="clear" w:color="auto" w:fill="00B050"/>
            <w:vAlign w:val="bottom"/>
          </w:tcPr>
          <w:p w14:paraId="5540E871" w14:textId="7C9F2359" w:rsidR="4AD22BCB" w:rsidRPr="00F22F32" w:rsidRDefault="4AD22BCB">
            <w:r w:rsidRPr="00F22F32">
              <w:rPr>
                <w:rFonts w:ascii="Calibri" w:eastAsia="Calibri" w:hAnsi="Calibri" w:cs="Calibri"/>
              </w:rPr>
              <w:t>0%</w:t>
            </w:r>
          </w:p>
        </w:tc>
        <w:tc>
          <w:tcPr>
            <w:tcW w:w="1110" w:type="dxa"/>
            <w:tcBorders>
              <w:top w:val="single" w:sz="4" w:space="0" w:color="auto"/>
              <w:left w:val="single" w:sz="4" w:space="0" w:color="auto"/>
              <w:bottom w:val="single" w:sz="4" w:space="0" w:color="auto"/>
              <w:right w:val="single" w:sz="4" w:space="0" w:color="auto"/>
            </w:tcBorders>
            <w:shd w:val="clear" w:color="auto" w:fill="00B0F0"/>
            <w:vAlign w:val="bottom"/>
          </w:tcPr>
          <w:p w14:paraId="16BD1486" w14:textId="483DE849" w:rsidR="4AD22BCB" w:rsidRPr="00F22F32" w:rsidRDefault="4AD22BCB">
            <w:r w:rsidRPr="00F22F32">
              <w:rPr>
                <w:rFonts w:ascii="Calibri" w:eastAsia="Calibri" w:hAnsi="Calibri" w:cs="Calibri"/>
              </w:rPr>
              <w:t>57%</w:t>
            </w:r>
          </w:p>
        </w:tc>
      </w:tr>
      <w:tr w:rsidR="00F22F32" w:rsidRPr="00F22F32" w14:paraId="566138AA" w14:textId="77777777" w:rsidTr="4AD22BCB">
        <w:trPr>
          <w:trHeight w:val="285"/>
        </w:trPr>
        <w:tc>
          <w:tcPr>
            <w:tcW w:w="3120" w:type="dxa"/>
            <w:tcBorders>
              <w:top w:val="single" w:sz="4" w:space="0" w:color="auto"/>
              <w:left w:val="single" w:sz="4" w:space="0" w:color="auto"/>
              <w:bottom w:val="single" w:sz="4" w:space="0" w:color="auto"/>
              <w:right w:val="single" w:sz="4" w:space="0" w:color="auto"/>
            </w:tcBorders>
            <w:vAlign w:val="bottom"/>
          </w:tcPr>
          <w:p w14:paraId="0DCE7F1A" w14:textId="0447FF2E" w:rsidR="4AD22BCB" w:rsidRPr="00F22F32" w:rsidRDefault="4AD22BCB" w:rsidP="4AD22BCB">
            <w:r w:rsidRPr="00F22F32">
              <w:rPr>
                <w:rFonts w:ascii="Calibri" w:eastAsia="Calibri" w:hAnsi="Calibri" w:cs="Calibri"/>
              </w:rPr>
              <w:t>Education</w:t>
            </w:r>
          </w:p>
        </w:tc>
        <w:tc>
          <w:tcPr>
            <w:tcW w:w="1275" w:type="dxa"/>
            <w:tcBorders>
              <w:top w:val="single" w:sz="4" w:space="0" w:color="auto"/>
              <w:left w:val="single" w:sz="4" w:space="0" w:color="auto"/>
              <w:bottom w:val="single" w:sz="4" w:space="0" w:color="auto"/>
              <w:right w:val="single" w:sz="4" w:space="0" w:color="auto"/>
            </w:tcBorders>
            <w:vAlign w:val="bottom"/>
          </w:tcPr>
          <w:p w14:paraId="7DF30CE9" w14:textId="3DAC23E0" w:rsidR="4AD22BCB" w:rsidRPr="00F22F32" w:rsidRDefault="4AD22BCB">
            <w:r w:rsidRPr="00F22F32">
              <w:rPr>
                <w:rFonts w:ascii="Calibri" w:eastAsia="Calibri" w:hAnsi="Calibri" w:cs="Calibri"/>
              </w:rPr>
              <w:t>13</w:t>
            </w:r>
          </w:p>
        </w:tc>
        <w:tc>
          <w:tcPr>
            <w:tcW w:w="855" w:type="dxa"/>
            <w:tcBorders>
              <w:top w:val="single" w:sz="4" w:space="0" w:color="auto"/>
              <w:left w:val="single" w:sz="4" w:space="0" w:color="auto"/>
              <w:bottom w:val="single" w:sz="4" w:space="0" w:color="auto"/>
              <w:right w:val="single" w:sz="4" w:space="0" w:color="auto"/>
            </w:tcBorders>
            <w:vAlign w:val="bottom"/>
          </w:tcPr>
          <w:p w14:paraId="3F0F6C07" w14:textId="1973770D" w:rsidR="4AD22BCB" w:rsidRPr="00F22F32" w:rsidRDefault="4AD22BCB">
            <w:r w:rsidRPr="00F22F32">
              <w:rPr>
                <w:rFonts w:ascii="Calibri" w:eastAsia="Calibri" w:hAnsi="Calibri" w:cs="Calibri"/>
              </w:rPr>
              <w:t>46%</w:t>
            </w:r>
          </w:p>
        </w:tc>
        <w:tc>
          <w:tcPr>
            <w:tcW w:w="930" w:type="dxa"/>
            <w:tcBorders>
              <w:top w:val="single" w:sz="4" w:space="0" w:color="auto"/>
              <w:left w:val="single" w:sz="4" w:space="0" w:color="auto"/>
              <w:bottom w:val="single" w:sz="4" w:space="0" w:color="auto"/>
              <w:right w:val="single" w:sz="4" w:space="0" w:color="auto"/>
            </w:tcBorders>
            <w:shd w:val="clear" w:color="auto" w:fill="FF4B4B"/>
            <w:vAlign w:val="bottom"/>
          </w:tcPr>
          <w:p w14:paraId="604529CB" w14:textId="3A52ADAE" w:rsidR="4AD22BCB" w:rsidRPr="00F22F32" w:rsidRDefault="4AD22BCB">
            <w:r w:rsidRPr="00F22F32">
              <w:rPr>
                <w:rFonts w:ascii="Calibri" w:eastAsia="Calibri" w:hAnsi="Calibri" w:cs="Calibri"/>
              </w:rPr>
              <w:t>33%</w:t>
            </w:r>
          </w:p>
        </w:tc>
        <w:tc>
          <w:tcPr>
            <w:tcW w:w="1080" w:type="dxa"/>
            <w:tcBorders>
              <w:top w:val="single" w:sz="4" w:space="0" w:color="auto"/>
              <w:left w:val="single" w:sz="4" w:space="0" w:color="auto"/>
              <w:bottom w:val="single" w:sz="4" w:space="0" w:color="auto"/>
              <w:right w:val="single" w:sz="4" w:space="0" w:color="auto"/>
            </w:tcBorders>
            <w:shd w:val="clear" w:color="auto" w:fill="FFC000" w:themeFill="accent4"/>
            <w:vAlign w:val="bottom"/>
          </w:tcPr>
          <w:p w14:paraId="335372DE" w14:textId="64073564" w:rsidR="4AD22BCB" w:rsidRPr="00F22F32" w:rsidRDefault="4AD22BCB">
            <w:r w:rsidRPr="00F22F32">
              <w:rPr>
                <w:rFonts w:ascii="Calibri" w:eastAsia="Calibri" w:hAnsi="Calibri" w:cs="Calibri"/>
              </w:rPr>
              <w:t>0%</w:t>
            </w:r>
          </w:p>
        </w:tc>
        <w:tc>
          <w:tcPr>
            <w:tcW w:w="1125" w:type="dxa"/>
            <w:tcBorders>
              <w:top w:val="single" w:sz="4" w:space="0" w:color="auto"/>
              <w:left w:val="single" w:sz="4" w:space="0" w:color="auto"/>
              <w:bottom w:val="single" w:sz="4" w:space="0" w:color="auto"/>
              <w:right w:val="single" w:sz="4" w:space="0" w:color="auto"/>
            </w:tcBorders>
            <w:shd w:val="clear" w:color="auto" w:fill="00B050"/>
            <w:vAlign w:val="bottom"/>
          </w:tcPr>
          <w:p w14:paraId="05AB5E7A" w14:textId="61804410" w:rsidR="4AD22BCB" w:rsidRPr="00F22F32" w:rsidRDefault="4AD22BCB">
            <w:r w:rsidRPr="00F22F32">
              <w:rPr>
                <w:rFonts w:ascii="Calibri" w:eastAsia="Calibri" w:hAnsi="Calibri" w:cs="Calibri"/>
              </w:rPr>
              <w:t>17%</w:t>
            </w:r>
          </w:p>
        </w:tc>
        <w:tc>
          <w:tcPr>
            <w:tcW w:w="1110" w:type="dxa"/>
            <w:tcBorders>
              <w:top w:val="single" w:sz="4" w:space="0" w:color="auto"/>
              <w:left w:val="single" w:sz="4" w:space="0" w:color="auto"/>
              <w:bottom w:val="single" w:sz="4" w:space="0" w:color="auto"/>
              <w:right w:val="single" w:sz="4" w:space="0" w:color="auto"/>
            </w:tcBorders>
            <w:shd w:val="clear" w:color="auto" w:fill="00B0F0"/>
            <w:vAlign w:val="bottom"/>
          </w:tcPr>
          <w:p w14:paraId="24DB6AEC" w14:textId="0AFDED23" w:rsidR="4AD22BCB" w:rsidRPr="00F22F32" w:rsidRDefault="4AD22BCB">
            <w:r w:rsidRPr="00F22F32">
              <w:rPr>
                <w:rFonts w:ascii="Calibri" w:eastAsia="Calibri" w:hAnsi="Calibri" w:cs="Calibri"/>
              </w:rPr>
              <w:t>50%</w:t>
            </w:r>
          </w:p>
        </w:tc>
      </w:tr>
      <w:tr w:rsidR="00F22F32" w:rsidRPr="00F22F32" w14:paraId="70BEEC9D" w14:textId="77777777" w:rsidTr="4AD22BCB">
        <w:trPr>
          <w:trHeight w:val="285"/>
        </w:trPr>
        <w:tc>
          <w:tcPr>
            <w:tcW w:w="3120" w:type="dxa"/>
            <w:tcBorders>
              <w:top w:val="single" w:sz="4" w:space="0" w:color="auto"/>
              <w:left w:val="single" w:sz="4" w:space="0" w:color="auto"/>
              <w:bottom w:val="single" w:sz="4" w:space="0" w:color="auto"/>
              <w:right w:val="single" w:sz="4" w:space="0" w:color="auto"/>
            </w:tcBorders>
            <w:vAlign w:val="bottom"/>
          </w:tcPr>
          <w:p w14:paraId="6339C963" w14:textId="384ADB60" w:rsidR="4AD22BCB" w:rsidRPr="00F22F32" w:rsidRDefault="4AD22BCB" w:rsidP="4AD22BCB">
            <w:r w:rsidRPr="00F22F32">
              <w:rPr>
                <w:rFonts w:ascii="Calibri" w:eastAsia="Calibri" w:hAnsi="Calibri" w:cs="Calibri"/>
              </w:rPr>
              <w:t>Gender</w:t>
            </w:r>
          </w:p>
        </w:tc>
        <w:tc>
          <w:tcPr>
            <w:tcW w:w="1275" w:type="dxa"/>
            <w:tcBorders>
              <w:top w:val="single" w:sz="4" w:space="0" w:color="auto"/>
              <w:left w:val="single" w:sz="4" w:space="0" w:color="auto"/>
              <w:bottom w:val="single" w:sz="4" w:space="0" w:color="auto"/>
              <w:right w:val="single" w:sz="4" w:space="0" w:color="auto"/>
            </w:tcBorders>
            <w:vAlign w:val="bottom"/>
          </w:tcPr>
          <w:p w14:paraId="1ACAA908" w14:textId="51FD71B6" w:rsidR="4AD22BCB" w:rsidRPr="00F22F32" w:rsidRDefault="4AD22BCB">
            <w:r w:rsidRPr="00F22F32">
              <w:rPr>
                <w:rFonts w:ascii="Calibri" w:eastAsia="Calibri" w:hAnsi="Calibri" w:cs="Calibri"/>
              </w:rPr>
              <w:t>14</w:t>
            </w:r>
          </w:p>
        </w:tc>
        <w:tc>
          <w:tcPr>
            <w:tcW w:w="855" w:type="dxa"/>
            <w:tcBorders>
              <w:top w:val="single" w:sz="4" w:space="0" w:color="auto"/>
              <w:left w:val="single" w:sz="4" w:space="0" w:color="auto"/>
              <w:bottom w:val="single" w:sz="4" w:space="0" w:color="auto"/>
              <w:right w:val="single" w:sz="4" w:space="0" w:color="auto"/>
            </w:tcBorders>
            <w:vAlign w:val="bottom"/>
          </w:tcPr>
          <w:p w14:paraId="212489D4" w14:textId="7E82A6F3" w:rsidR="4AD22BCB" w:rsidRPr="00F22F32" w:rsidRDefault="4AD22BCB">
            <w:r w:rsidRPr="00F22F32">
              <w:rPr>
                <w:rFonts w:ascii="Calibri" w:eastAsia="Calibri" w:hAnsi="Calibri" w:cs="Calibri"/>
              </w:rPr>
              <w:t>64%</w:t>
            </w:r>
          </w:p>
        </w:tc>
        <w:tc>
          <w:tcPr>
            <w:tcW w:w="930" w:type="dxa"/>
            <w:tcBorders>
              <w:top w:val="single" w:sz="4" w:space="0" w:color="auto"/>
              <w:left w:val="single" w:sz="4" w:space="0" w:color="auto"/>
              <w:bottom w:val="single" w:sz="4" w:space="0" w:color="auto"/>
              <w:right w:val="single" w:sz="4" w:space="0" w:color="auto"/>
            </w:tcBorders>
            <w:shd w:val="clear" w:color="auto" w:fill="FF4B4B"/>
            <w:vAlign w:val="bottom"/>
          </w:tcPr>
          <w:p w14:paraId="374246A3" w14:textId="0DF9DDAE" w:rsidR="4AD22BCB" w:rsidRPr="00F22F32" w:rsidRDefault="4AD22BCB">
            <w:r w:rsidRPr="00F22F32">
              <w:rPr>
                <w:rFonts w:ascii="Calibri" w:eastAsia="Calibri" w:hAnsi="Calibri" w:cs="Calibri"/>
              </w:rPr>
              <w:t>33%</w:t>
            </w:r>
          </w:p>
        </w:tc>
        <w:tc>
          <w:tcPr>
            <w:tcW w:w="1080" w:type="dxa"/>
            <w:tcBorders>
              <w:top w:val="single" w:sz="4" w:space="0" w:color="auto"/>
              <w:left w:val="single" w:sz="4" w:space="0" w:color="auto"/>
              <w:bottom w:val="single" w:sz="4" w:space="0" w:color="auto"/>
              <w:right w:val="single" w:sz="4" w:space="0" w:color="auto"/>
            </w:tcBorders>
            <w:shd w:val="clear" w:color="auto" w:fill="FFC000" w:themeFill="accent4"/>
            <w:vAlign w:val="bottom"/>
          </w:tcPr>
          <w:p w14:paraId="1B6D9189" w14:textId="08397579" w:rsidR="4AD22BCB" w:rsidRPr="00F22F32" w:rsidRDefault="4AD22BCB">
            <w:r w:rsidRPr="00F22F32">
              <w:rPr>
                <w:rFonts w:ascii="Calibri" w:eastAsia="Calibri" w:hAnsi="Calibri" w:cs="Calibri"/>
              </w:rPr>
              <w:t>22%</w:t>
            </w:r>
          </w:p>
        </w:tc>
        <w:tc>
          <w:tcPr>
            <w:tcW w:w="1125" w:type="dxa"/>
            <w:tcBorders>
              <w:top w:val="single" w:sz="4" w:space="0" w:color="auto"/>
              <w:left w:val="single" w:sz="4" w:space="0" w:color="auto"/>
              <w:bottom w:val="single" w:sz="4" w:space="0" w:color="auto"/>
              <w:right w:val="single" w:sz="4" w:space="0" w:color="auto"/>
            </w:tcBorders>
            <w:shd w:val="clear" w:color="auto" w:fill="00B050"/>
            <w:vAlign w:val="bottom"/>
          </w:tcPr>
          <w:p w14:paraId="10955E47" w14:textId="2DB98B23" w:rsidR="4AD22BCB" w:rsidRPr="00F22F32" w:rsidRDefault="4AD22BCB">
            <w:r w:rsidRPr="00F22F32">
              <w:rPr>
                <w:rFonts w:ascii="Calibri" w:eastAsia="Calibri" w:hAnsi="Calibri" w:cs="Calibri"/>
              </w:rPr>
              <w:t>0%</w:t>
            </w:r>
          </w:p>
        </w:tc>
        <w:tc>
          <w:tcPr>
            <w:tcW w:w="1110" w:type="dxa"/>
            <w:tcBorders>
              <w:top w:val="single" w:sz="4" w:space="0" w:color="auto"/>
              <w:left w:val="single" w:sz="4" w:space="0" w:color="auto"/>
              <w:bottom w:val="single" w:sz="4" w:space="0" w:color="auto"/>
              <w:right w:val="single" w:sz="4" w:space="0" w:color="auto"/>
            </w:tcBorders>
            <w:shd w:val="clear" w:color="auto" w:fill="00B0F0"/>
            <w:vAlign w:val="bottom"/>
          </w:tcPr>
          <w:p w14:paraId="5ED582AA" w14:textId="7920FB3C" w:rsidR="4AD22BCB" w:rsidRPr="00F22F32" w:rsidRDefault="4AD22BCB">
            <w:r w:rsidRPr="00F22F32">
              <w:rPr>
                <w:rFonts w:ascii="Calibri" w:eastAsia="Calibri" w:hAnsi="Calibri" w:cs="Calibri"/>
              </w:rPr>
              <w:t>44%</w:t>
            </w:r>
          </w:p>
        </w:tc>
      </w:tr>
      <w:tr w:rsidR="00F22F32" w:rsidRPr="00F22F32" w14:paraId="70A728AD" w14:textId="77777777" w:rsidTr="4AD22BCB">
        <w:trPr>
          <w:trHeight w:val="285"/>
        </w:trPr>
        <w:tc>
          <w:tcPr>
            <w:tcW w:w="3120" w:type="dxa"/>
            <w:tcBorders>
              <w:top w:val="single" w:sz="4" w:space="0" w:color="auto"/>
              <w:left w:val="single" w:sz="4" w:space="0" w:color="auto"/>
              <w:bottom w:val="single" w:sz="4" w:space="0" w:color="auto"/>
              <w:right w:val="single" w:sz="4" w:space="0" w:color="auto"/>
            </w:tcBorders>
            <w:vAlign w:val="bottom"/>
          </w:tcPr>
          <w:p w14:paraId="682D1805" w14:textId="541F2D56" w:rsidR="4AD22BCB" w:rsidRPr="00F22F32" w:rsidRDefault="4AD22BCB" w:rsidP="4AD22BCB">
            <w:r w:rsidRPr="00F22F32">
              <w:rPr>
                <w:rFonts w:ascii="Calibri" w:eastAsia="Calibri" w:hAnsi="Calibri" w:cs="Calibri"/>
              </w:rPr>
              <w:t>Social Protection</w:t>
            </w:r>
          </w:p>
        </w:tc>
        <w:tc>
          <w:tcPr>
            <w:tcW w:w="1275" w:type="dxa"/>
            <w:tcBorders>
              <w:top w:val="single" w:sz="4" w:space="0" w:color="auto"/>
              <w:left w:val="single" w:sz="4" w:space="0" w:color="auto"/>
              <w:bottom w:val="single" w:sz="4" w:space="0" w:color="auto"/>
              <w:right w:val="single" w:sz="4" w:space="0" w:color="auto"/>
            </w:tcBorders>
            <w:vAlign w:val="bottom"/>
          </w:tcPr>
          <w:p w14:paraId="6CD1CDA0" w14:textId="458736F7" w:rsidR="4AD22BCB" w:rsidRPr="00F22F32" w:rsidRDefault="4AD22BCB">
            <w:r w:rsidRPr="00F22F32">
              <w:rPr>
                <w:rFonts w:ascii="Calibri" w:eastAsia="Calibri" w:hAnsi="Calibri" w:cs="Calibri"/>
              </w:rPr>
              <w:t>12</w:t>
            </w:r>
          </w:p>
        </w:tc>
        <w:tc>
          <w:tcPr>
            <w:tcW w:w="855" w:type="dxa"/>
            <w:tcBorders>
              <w:top w:val="single" w:sz="4" w:space="0" w:color="auto"/>
              <w:left w:val="single" w:sz="4" w:space="0" w:color="auto"/>
              <w:bottom w:val="single" w:sz="4" w:space="0" w:color="auto"/>
              <w:right w:val="single" w:sz="4" w:space="0" w:color="auto"/>
            </w:tcBorders>
            <w:vAlign w:val="bottom"/>
          </w:tcPr>
          <w:p w14:paraId="21E6CE2E" w14:textId="4A677C09" w:rsidR="4AD22BCB" w:rsidRPr="00F22F32" w:rsidRDefault="4AD22BCB">
            <w:r w:rsidRPr="00F22F32">
              <w:rPr>
                <w:rFonts w:ascii="Calibri" w:eastAsia="Calibri" w:hAnsi="Calibri" w:cs="Calibri"/>
              </w:rPr>
              <w:t>75%</w:t>
            </w:r>
          </w:p>
        </w:tc>
        <w:tc>
          <w:tcPr>
            <w:tcW w:w="930" w:type="dxa"/>
            <w:tcBorders>
              <w:top w:val="single" w:sz="4" w:space="0" w:color="auto"/>
              <w:left w:val="single" w:sz="4" w:space="0" w:color="auto"/>
              <w:bottom w:val="single" w:sz="4" w:space="0" w:color="auto"/>
              <w:right w:val="single" w:sz="4" w:space="0" w:color="auto"/>
            </w:tcBorders>
            <w:shd w:val="clear" w:color="auto" w:fill="FF4B4B"/>
            <w:vAlign w:val="bottom"/>
          </w:tcPr>
          <w:p w14:paraId="7EFDCCEE" w14:textId="241972B1" w:rsidR="4AD22BCB" w:rsidRPr="00F22F32" w:rsidRDefault="4AD22BCB">
            <w:r w:rsidRPr="00F22F32">
              <w:rPr>
                <w:rFonts w:ascii="Calibri" w:eastAsia="Calibri" w:hAnsi="Calibri" w:cs="Calibri"/>
              </w:rPr>
              <w:t>22%</w:t>
            </w:r>
          </w:p>
        </w:tc>
        <w:tc>
          <w:tcPr>
            <w:tcW w:w="1080" w:type="dxa"/>
            <w:tcBorders>
              <w:top w:val="single" w:sz="4" w:space="0" w:color="auto"/>
              <w:left w:val="single" w:sz="4" w:space="0" w:color="auto"/>
              <w:bottom w:val="single" w:sz="4" w:space="0" w:color="auto"/>
              <w:right w:val="single" w:sz="4" w:space="0" w:color="auto"/>
            </w:tcBorders>
            <w:shd w:val="clear" w:color="auto" w:fill="FFC000" w:themeFill="accent4"/>
            <w:vAlign w:val="bottom"/>
          </w:tcPr>
          <w:p w14:paraId="32F85949" w14:textId="07F10E62" w:rsidR="4AD22BCB" w:rsidRPr="00F22F32" w:rsidRDefault="4AD22BCB">
            <w:r w:rsidRPr="00F22F32">
              <w:rPr>
                <w:rFonts w:ascii="Calibri" w:eastAsia="Calibri" w:hAnsi="Calibri" w:cs="Calibri"/>
              </w:rPr>
              <w:t>44%</w:t>
            </w:r>
          </w:p>
        </w:tc>
        <w:tc>
          <w:tcPr>
            <w:tcW w:w="1125" w:type="dxa"/>
            <w:tcBorders>
              <w:top w:val="single" w:sz="4" w:space="0" w:color="auto"/>
              <w:left w:val="single" w:sz="4" w:space="0" w:color="auto"/>
              <w:bottom w:val="single" w:sz="4" w:space="0" w:color="auto"/>
              <w:right w:val="single" w:sz="4" w:space="0" w:color="auto"/>
            </w:tcBorders>
            <w:shd w:val="clear" w:color="auto" w:fill="00B050"/>
            <w:vAlign w:val="bottom"/>
          </w:tcPr>
          <w:p w14:paraId="0CB67F3F" w14:textId="2A40D1FA" w:rsidR="4AD22BCB" w:rsidRPr="00F22F32" w:rsidRDefault="4AD22BCB">
            <w:r w:rsidRPr="00F22F32">
              <w:rPr>
                <w:rFonts w:ascii="Calibri" w:eastAsia="Calibri" w:hAnsi="Calibri" w:cs="Calibri"/>
              </w:rPr>
              <w:t>0%</w:t>
            </w:r>
          </w:p>
        </w:tc>
        <w:tc>
          <w:tcPr>
            <w:tcW w:w="1110" w:type="dxa"/>
            <w:tcBorders>
              <w:top w:val="single" w:sz="4" w:space="0" w:color="auto"/>
              <w:left w:val="single" w:sz="4" w:space="0" w:color="auto"/>
              <w:bottom w:val="single" w:sz="4" w:space="0" w:color="auto"/>
              <w:right w:val="single" w:sz="4" w:space="0" w:color="auto"/>
            </w:tcBorders>
            <w:shd w:val="clear" w:color="auto" w:fill="00B0F0"/>
            <w:vAlign w:val="bottom"/>
          </w:tcPr>
          <w:p w14:paraId="72CB81C5" w14:textId="73A3C882" w:rsidR="4AD22BCB" w:rsidRPr="00F22F32" w:rsidRDefault="4AD22BCB">
            <w:r w:rsidRPr="00F22F32">
              <w:rPr>
                <w:rFonts w:ascii="Calibri" w:eastAsia="Calibri" w:hAnsi="Calibri" w:cs="Calibri"/>
              </w:rPr>
              <w:t>33%</w:t>
            </w:r>
          </w:p>
        </w:tc>
      </w:tr>
      <w:tr w:rsidR="00F22F32" w:rsidRPr="00F22F32" w14:paraId="2D749B5B" w14:textId="77777777" w:rsidTr="4AD22BCB">
        <w:trPr>
          <w:trHeight w:val="285"/>
        </w:trPr>
        <w:tc>
          <w:tcPr>
            <w:tcW w:w="3120" w:type="dxa"/>
            <w:tcBorders>
              <w:top w:val="single" w:sz="4" w:space="0" w:color="auto"/>
              <w:left w:val="single" w:sz="4" w:space="0" w:color="auto"/>
              <w:bottom w:val="single" w:sz="4" w:space="0" w:color="auto"/>
              <w:right w:val="single" w:sz="4" w:space="0" w:color="auto"/>
            </w:tcBorders>
            <w:vAlign w:val="bottom"/>
          </w:tcPr>
          <w:p w14:paraId="628D40A3" w14:textId="3A74C2CD" w:rsidR="4AD22BCB" w:rsidRPr="00F22F32" w:rsidRDefault="4AD22BCB" w:rsidP="4AD22BCB">
            <w:r w:rsidRPr="00F22F32">
              <w:rPr>
                <w:rFonts w:ascii="Calibri" w:eastAsia="Calibri" w:hAnsi="Calibri" w:cs="Calibri"/>
              </w:rPr>
              <w:t>Health</w:t>
            </w:r>
          </w:p>
        </w:tc>
        <w:tc>
          <w:tcPr>
            <w:tcW w:w="1275" w:type="dxa"/>
            <w:tcBorders>
              <w:top w:val="single" w:sz="4" w:space="0" w:color="auto"/>
              <w:left w:val="single" w:sz="4" w:space="0" w:color="auto"/>
              <w:bottom w:val="single" w:sz="4" w:space="0" w:color="auto"/>
              <w:right w:val="single" w:sz="4" w:space="0" w:color="auto"/>
            </w:tcBorders>
            <w:vAlign w:val="bottom"/>
          </w:tcPr>
          <w:p w14:paraId="3FC371C0" w14:textId="704A5B26" w:rsidR="4AD22BCB" w:rsidRPr="00F22F32" w:rsidRDefault="4AD22BCB">
            <w:r w:rsidRPr="00F22F32">
              <w:rPr>
                <w:rFonts w:ascii="Calibri" w:eastAsia="Calibri" w:hAnsi="Calibri" w:cs="Calibri"/>
              </w:rPr>
              <w:t>28</w:t>
            </w:r>
          </w:p>
        </w:tc>
        <w:tc>
          <w:tcPr>
            <w:tcW w:w="855" w:type="dxa"/>
            <w:tcBorders>
              <w:top w:val="single" w:sz="4" w:space="0" w:color="auto"/>
              <w:left w:val="single" w:sz="4" w:space="0" w:color="auto"/>
              <w:bottom w:val="single" w:sz="4" w:space="0" w:color="auto"/>
              <w:right w:val="single" w:sz="4" w:space="0" w:color="auto"/>
            </w:tcBorders>
            <w:vAlign w:val="bottom"/>
          </w:tcPr>
          <w:p w14:paraId="6462D02E" w14:textId="190A0D52" w:rsidR="4AD22BCB" w:rsidRPr="00F22F32" w:rsidRDefault="4AD22BCB">
            <w:r w:rsidRPr="00F22F32">
              <w:rPr>
                <w:rFonts w:ascii="Calibri" w:eastAsia="Calibri" w:hAnsi="Calibri" w:cs="Calibri"/>
              </w:rPr>
              <w:t>96%</w:t>
            </w:r>
          </w:p>
        </w:tc>
        <w:tc>
          <w:tcPr>
            <w:tcW w:w="930" w:type="dxa"/>
            <w:tcBorders>
              <w:top w:val="single" w:sz="4" w:space="0" w:color="auto"/>
              <w:left w:val="single" w:sz="4" w:space="0" w:color="auto"/>
              <w:bottom w:val="single" w:sz="4" w:space="0" w:color="auto"/>
              <w:right w:val="single" w:sz="4" w:space="0" w:color="auto"/>
            </w:tcBorders>
            <w:shd w:val="clear" w:color="auto" w:fill="FF4B4B"/>
            <w:vAlign w:val="bottom"/>
          </w:tcPr>
          <w:p w14:paraId="2017C482" w14:textId="67598D08" w:rsidR="4AD22BCB" w:rsidRPr="00F22F32" w:rsidRDefault="4AD22BCB">
            <w:r w:rsidRPr="00F22F32">
              <w:rPr>
                <w:rFonts w:ascii="Calibri" w:eastAsia="Calibri" w:hAnsi="Calibri" w:cs="Calibri"/>
              </w:rPr>
              <w:t>7%</w:t>
            </w:r>
          </w:p>
        </w:tc>
        <w:tc>
          <w:tcPr>
            <w:tcW w:w="1080" w:type="dxa"/>
            <w:tcBorders>
              <w:top w:val="single" w:sz="4" w:space="0" w:color="auto"/>
              <w:left w:val="single" w:sz="4" w:space="0" w:color="auto"/>
              <w:bottom w:val="single" w:sz="4" w:space="0" w:color="auto"/>
              <w:right w:val="single" w:sz="4" w:space="0" w:color="auto"/>
            </w:tcBorders>
            <w:shd w:val="clear" w:color="auto" w:fill="FFC000" w:themeFill="accent4"/>
            <w:vAlign w:val="bottom"/>
          </w:tcPr>
          <w:p w14:paraId="72BCA54D" w14:textId="04C8ED63" w:rsidR="4AD22BCB" w:rsidRPr="00F22F32" w:rsidRDefault="4AD22BCB">
            <w:r w:rsidRPr="00F22F32">
              <w:rPr>
                <w:rFonts w:ascii="Calibri" w:eastAsia="Calibri" w:hAnsi="Calibri" w:cs="Calibri"/>
              </w:rPr>
              <w:t>19%</w:t>
            </w:r>
          </w:p>
        </w:tc>
        <w:tc>
          <w:tcPr>
            <w:tcW w:w="1125" w:type="dxa"/>
            <w:tcBorders>
              <w:top w:val="single" w:sz="4" w:space="0" w:color="auto"/>
              <w:left w:val="single" w:sz="4" w:space="0" w:color="auto"/>
              <w:bottom w:val="single" w:sz="4" w:space="0" w:color="auto"/>
              <w:right w:val="single" w:sz="4" w:space="0" w:color="auto"/>
            </w:tcBorders>
            <w:shd w:val="clear" w:color="auto" w:fill="00B050"/>
            <w:vAlign w:val="bottom"/>
          </w:tcPr>
          <w:p w14:paraId="4F9F7823" w14:textId="7D6A752A" w:rsidR="4AD22BCB" w:rsidRPr="00F22F32" w:rsidRDefault="4AD22BCB">
            <w:r w:rsidRPr="00F22F32">
              <w:rPr>
                <w:rFonts w:ascii="Calibri" w:eastAsia="Calibri" w:hAnsi="Calibri" w:cs="Calibri"/>
              </w:rPr>
              <w:t>11%</w:t>
            </w:r>
          </w:p>
        </w:tc>
        <w:tc>
          <w:tcPr>
            <w:tcW w:w="1110" w:type="dxa"/>
            <w:tcBorders>
              <w:top w:val="single" w:sz="4" w:space="0" w:color="auto"/>
              <w:left w:val="single" w:sz="4" w:space="0" w:color="auto"/>
              <w:bottom w:val="single" w:sz="4" w:space="0" w:color="auto"/>
              <w:right w:val="single" w:sz="4" w:space="0" w:color="auto"/>
            </w:tcBorders>
            <w:shd w:val="clear" w:color="auto" w:fill="00B0F0"/>
            <w:vAlign w:val="bottom"/>
          </w:tcPr>
          <w:p w14:paraId="2540C36F" w14:textId="28DC930D" w:rsidR="4AD22BCB" w:rsidRPr="00F22F32" w:rsidRDefault="4AD22BCB">
            <w:r w:rsidRPr="00F22F32">
              <w:rPr>
                <w:rFonts w:ascii="Calibri" w:eastAsia="Calibri" w:hAnsi="Calibri" w:cs="Calibri"/>
              </w:rPr>
              <w:t>63%</w:t>
            </w:r>
          </w:p>
        </w:tc>
      </w:tr>
      <w:tr w:rsidR="00F22F32" w:rsidRPr="00F22F32" w14:paraId="3CCCDBC2" w14:textId="77777777" w:rsidTr="4AD22BCB">
        <w:trPr>
          <w:trHeight w:val="285"/>
        </w:trPr>
        <w:tc>
          <w:tcPr>
            <w:tcW w:w="3120" w:type="dxa"/>
            <w:tcBorders>
              <w:top w:val="single" w:sz="4" w:space="0" w:color="auto"/>
              <w:left w:val="single" w:sz="4" w:space="0" w:color="auto"/>
              <w:bottom w:val="single" w:sz="4" w:space="0" w:color="auto"/>
              <w:right w:val="single" w:sz="4" w:space="0" w:color="auto"/>
            </w:tcBorders>
            <w:vAlign w:val="bottom"/>
          </w:tcPr>
          <w:p w14:paraId="0C3C6E72" w14:textId="514D90EC" w:rsidR="4AD22BCB" w:rsidRPr="00F22F32" w:rsidRDefault="4AD22BCB" w:rsidP="4AD22BCB">
            <w:r w:rsidRPr="00F22F32">
              <w:rPr>
                <w:rFonts w:ascii="Calibri" w:eastAsia="Calibri" w:hAnsi="Calibri" w:cs="Calibri"/>
              </w:rPr>
              <w:t>Youth</w:t>
            </w:r>
          </w:p>
        </w:tc>
        <w:tc>
          <w:tcPr>
            <w:tcW w:w="1275" w:type="dxa"/>
            <w:tcBorders>
              <w:top w:val="single" w:sz="4" w:space="0" w:color="auto"/>
              <w:left w:val="single" w:sz="4" w:space="0" w:color="auto"/>
              <w:bottom w:val="single" w:sz="4" w:space="0" w:color="auto"/>
              <w:right w:val="single" w:sz="4" w:space="0" w:color="auto"/>
            </w:tcBorders>
            <w:vAlign w:val="bottom"/>
          </w:tcPr>
          <w:p w14:paraId="7448388A" w14:textId="78D4BF9E" w:rsidR="4AD22BCB" w:rsidRPr="00F22F32" w:rsidRDefault="4AD22BCB">
            <w:r w:rsidRPr="00F22F32">
              <w:rPr>
                <w:rFonts w:ascii="Calibri" w:eastAsia="Calibri" w:hAnsi="Calibri" w:cs="Calibri"/>
              </w:rPr>
              <w:t>11</w:t>
            </w:r>
          </w:p>
        </w:tc>
        <w:tc>
          <w:tcPr>
            <w:tcW w:w="855" w:type="dxa"/>
            <w:tcBorders>
              <w:top w:val="single" w:sz="4" w:space="0" w:color="auto"/>
              <w:left w:val="single" w:sz="4" w:space="0" w:color="auto"/>
              <w:bottom w:val="single" w:sz="4" w:space="0" w:color="auto"/>
              <w:right w:val="single" w:sz="4" w:space="0" w:color="auto"/>
            </w:tcBorders>
            <w:vAlign w:val="bottom"/>
          </w:tcPr>
          <w:p w14:paraId="4A0CF999" w14:textId="182F3A82" w:rsidR="4AD22BCB" w:rsidRPr="00F22F32" w:rsidRDefault="4AD22BCB">
            <w:r w:rsidRPr="00F22F32">
              <w:rPr>
                <w:rFonts w:ascii="Calibri" w:eastAsia="Calibri" w:hAnsi="Calibri" w:cs="Calibri"/>
              </w:rPr>
              <w:t>55%</w:t>
            </w:r>
          </w:p>
        </w:tc>
        <w:tc>
          <w:tcPr>
            <w:tcW w:w="930" w:type="dxa"/>
            <w:tcBorders>
              <w:top w:val="single" w:sz="4" w:space="0" w:color="auto"/>
              <w:left w:val="single" w:sz="4" w:space="0" w:color="auto"/>
              <w:bottom w:val="single" w:sz="4" w:space="0" w:color="auto"/>
              <w:right w:val="single" w:sz="4" w:space="0" w:color="auto"/>
            </w:tcBorders>
            <w:shd w:val="clear" w:color="auto" w:fill="FF4B4B"/>
            <w:vAlign w:val="bottom"/>
          </w:tcPr>
          <w:p w14:paraId="1411AF01" w14:textId="3FD54E33" w:rsidR="4AD22BCB" w:rsidRPr="00F22F32" w:rsidRDefault="4AD22BCB">
            <w:r w:rsidRPr="00F22F32">
              <w:rPr>
                <w:rFonts w:ascii="Calibri" w:eastAsia="Calibri" w:hAnsi="Calibri" w:cs="Calibri"/>
              </w:rPr>
              <w:t>0%</w:t>
            </w:r>
          </w:p>
        </w:tc>
        <w:tc>
          <w:tcPr>
            <w:tcW w:w="1080" w:type="dxa"/>
            <w:tcBorders>
              <w:top w:val="single" w:sz="4" w:space="0" w:color="auto"/>
              <w:left w:val="single" w:sz="4" w:space="0" w:color="auto"/>
              <w:bottom w:val="single" w:sz="4" w:space="0" w:color="auto"/>
              <w:right w:val="single" w:sz="4" w:space="0" w:color="auto"/>
            </w:tcBorders>
            <w:shd w:val="clear" w:color="auto" w:fill="FFC000" w:themeFill="accent4"/>
            <w:vAlign w:val="bottom"/>
          </w:tcPr>
          <w:p w14:paraId="7D7AF1EE" w14:textId="4CF3799F" w:rsidR="4AD22BCB" w:rsidRPr="00F22F32" w:rsidRDefault="4AD22BCB">
            <w:r w:rsidRPr="00F22F32">
              <w:rPr>
                <w:rFonts w:ascii="Calibri" w:eastAsia="Calibri" w:hAnsi="Calibri" w:cs="Calibri"/>
              </w:rPr>
              <w:t>50%</w:t>
            </w:r>
          </w:p>
        </w:tc>
        <w:tc>
          <w:tcPr>
            <w:tcW w:w="1125" w:type="dxa"/>
            <w:tcBorders>
              <w:top w:val="single" w:sz="4" w:space="0" w:color="auto"/>
              <w:left w:val="single" w:sz="4" w:space="0" w:color="auto"/>
              <w:bottom w:val="single" w:sz="4" w:space="0" w:color="auto"/>
              <w:right w:val="single" w:sz="4" w:space="0" w:color="auto"/>
            </w:tcBorders>
            <w:shd w:val="clear" w:color="auto" w:fill="00B050"/>
            <w:vAlign w:val="bottom"/>
          </w:tcPr>
          <w:p w14:paraId="3976A78E" w14:textId="11FE4A57" w:rsidR="4AD22BCB" w:rsidRPr="00F22F32" w:rsidRDefault="4AD22BCB">
            <w:r w:rsidRPr="00F22F32">
              <w:rPr>
                <w:rFonts w:ascii="Calibri" w:eastAsia="Calibri" w:hAnsi="Calibri" w:cs="Calibri"/>
              </w:rPr>
              <w:t>0%</w:t>
            </w:r>
          </w:p>
        </w:tc>
        <w:tc>
          <w:tcPr>
            <w:tcW w:w="1110" w:type="dxa"/>
            <w:tcBorders>
              <w:top w:val="single" w:sz="4" w:space="0" w:color="auto"/>
              <w:left w:val="single" w:sz="4" w:space="0" w:color="auto"/>
              <w:bottom w:val="single" w:sz="4" w:space="0" w:color="auto"/>
              <w:right w:val="single" w:sz="4" w:space="0" w:color="auto"/>
            </w:tcBorders>
            <w:shd w:val="clear" w:color="auto" w:fill="00B0F0"/>
            <w:vAlign w:val="bottom"/>
          </w:tcPr>
          <w:p w14:paraId="2EF3352E" w14:textId="6DFB38A1" w:rsidR="4AD22BCB" w:rsidRPr="00F22F32" w:rsidRDefault="4AD22BCB">
            <w:r w:rsidRPr="00F22F32">
              <w:rPr>
                <w:rFonts w:ascii="Calibri" w:eastAsia="Calibri" w:hAnsi="Calibri" w:cs="Calibri"/>
              </w:rPr>
              <w:t>50%</w:t>
            </w:r>
          </w:p>
        </w:tc>
      </w:tr>
      <w:tr w:rsidR="00F22F32" w:rsidRPr="00F22F32" w14:paraId="20E77863" w14:textId="77777777" w:rsidTr="4AD22BCB">
        <w:trPr>
          <w:trHeight w:val="285"/>
        </w:trPr>
        <w:tc>
          <w:tcPr>
            <w:tcW w:w="3120" w:type="dxa"/>
            <w:tcBorders>
              <w:top w:val="single" w:sz="4" w:space="0" w:color="auto"/>
              <w:left w:val="single" w:sz="4" w:space="0" w:color="auto"/>
              <w:bottom w:val="single" w:sz="4" w:space="0" w:color="auto"/>
              <w:right w:val="single" w:sz="4" w:space="0" w:color="auto"/>
            </w:tcBorders>
            <w:vAlign w:val="bottom"/>
          </w:tcPr>
          <w:p w14:paraId="66D785B8" w14:textId="421A976B" w:rsidR="4AD22BCB" w:rsidRPr="00F22F32" w:rsidRDefault="4AD22BCB" w:rsidP="4AD22BCB">
            <w:r w:rsidRPr="00F22F32">
              <w:rPr>
                <w:rFonts w:ascii="Calibri" w:eastAsia="Calibri" w:hAnsi="Calibri" w:cs="Calibri"/>
              </w:rPr>
              <w:t>Governance</w:t>
            </w:r>
          </w:p>
        </w:tc>
        <w:tc>
          <w:tcPr>
            <w:tcW w:w="1275" w:type="dxa"/>
            <w:tcBorders>
              <w:top w:val="single" w:sz="4" w:space="0" w:color="auto"/>
              <w:left w:val="single" w:sz="4" w:space="0" w:color="auto"/>
              <w:bottom w:val="single" w:sz="4" w:space="0" w:color="auto"/>
              <w:right w:val="single" w:sz="4" w:space="0" w:color="auto"/>
            </w:tcBorders>
            <w:vAlign w:val="bottom"/>
          </w:tcPr>
          <w:p w14:paraId="73FBD0CA" w14:textId="7B38EB21" w:rsidR="4AD22BCB" w:rsidRPr="00F22F32" w:rsidRDefault="4AD22BCB">
            <w:r w:rsidRPr="00F22F32">
              <w:rPr>
                <w:rFonts w:ascii="Calibri" w:eastAsia="Calibri" w:hAnsi="Calibri" w:cs="Calibri"/>
              </w:rPr>
              <w:t>19</w:t>
            </w:r>
          </w:p>
        </w:tc>
        <w:tc>
          <w:tcPr>
            <w:tcW w:w="855" w:type="dxa"/>
            <w:tcBorders>
              <w:top w:val="single" w:sz="4" w:space="0" w:color="auto"/>
              <w:left w:val="single" w:sz="4" w:space="0" w:color="auto"/>
              <w:bottom w:val="single" w:sz="4" w:space="0" w:color="auto"/>
              <w:right w:val="single" w:sz="4" w:space="0" w:color="auto"/>
            </w:tcBorders>
            <w:vAlign w:val="bottom"/>
          </w:tcPr>
          <w:p w14:paraId="625CEDA9" w14:textId="56CDA6AE" w:rsidR="4AD22BCB" w:rsidRPr="00F22F32" w:rsidRDefault="4AD22BCB">
            <w:r w:rsidRPr="00F22F32">
              <w:rPr>
                <w:rFonts w:ascii="Calibri" w:eastAsia="Calibri" w:hAnsi="Calibri" w:cs="Calibri"/>
              </w:rPr>
              <w:t>68%</w:t>
            </w:r>
          </w:p>
        </w:tc>
        <w:tc>
          <w:tcPr>
            <w:tcW w:w="930" w:type="dxa"/>
            <w:tcBorders>
              <w:top w:val="single" w:sz="4" w:space="0" w:color="auto"/>
              <w:left w:val="single" w:sz="4" w:space="0" w:color="auto"/>
              <w:bottom w:val="single" w:sz="4" w:space="0" w:color="auto"/>
              <w:right w:val="single" w:sz="4" w:space="0" w:color="auto"/>
            </w:tcBorders>
            <w:shd w:val="clear" w:color="auto" w:fill="FF4B4B"/>
            <w:vAlign w:val="bottom"/>
          </w:tcPr>
          <w:p w14:paraId="3DC6ABED" w14:textId="52D783F6" w:rsidR="4AD22BCB" w:rsidRPr="00F22F32" w:rsidRDefault="4AD22BCB">
            <w:r w:rsidRPr="00F22F32">
              <w:rPr>
                <w:rFonts w:ascii="Calibri" w:eastAsia="Calibri" w:hAnsi="Calibri" w:cs="Calibri"/>
              </w:rPr>
              <w:t>23%</w:t>
            </w:r>
          </w:p>
        </w:tc>
        <w:tc>
          <w:tcPr>
            <w:tcW w:w="1080" w:type="dxa"/>
            <w:tcBorders>
              <w:top w:val="single" w:sz="4" w:space="0" w:color="auto"/>
              <w:left w:val="single" w:sz="4" w:space="0" w:color="auto"/>
              <w:bottom w:val="single" w:sz="4" w:space="0" w:color="auto"/>
              <w:right w:val="single" w:sz="4" w:space="0" w:color="auto"/>
            </w:tcBorders>
            <w:shd w:val="clear" w:color="auto" w:fill="FFC000" w:themeFill="accent4"/>
            <w:vAlign w:val="bottom"/>
          </w:tcPr>
          <w:p w14:paraId="54E680F6" w14:textId="263712D0" w:rsidR="4AD22BCB" w:rsidRPr="00F22F32" w:rsidRDefault="4AD22BCB">
            <w:r w:rsidRPr="00F22F32">
              <w:rPr>
                <w:rFonts w:ascii="Calibri" w:eastAsia="Calibri" w:hAnsi="Calibri" w:cs="Calibri"/>
              </w:rPr>
              <w:t>23%</w:t>
            </w:r>
          </w:p>
        </w:tc>
        <w:tc>
          <w:tcPr>
            <w:tcW w:w="1125" w:type="dxa"/>
            <w:tcBorders>
              <w:top w:val="single" w:sz="4" w:space="0" w:color="auto"/>
              <w:left w:val="single" w:sz="4" w:space="0" w:color="auto"/>
              <w:bottom w:val="single" w:sz="4" w:space="0" w:color="auto"/>
              <w:right w:val="single" w:sz="4" w:space="0" w:color="auto"/>
            </w:tcBorders>
            <w:shd w:val="clear" w:color="auto" w:fill="00B050"/>
            <w:vAlign w:val="bottom"/>
          </w:tcPr>
          <w:p w14:paraId="5DECFA9F" w14:textId="1E9E89AA" w:rsidR="4AD22BCB" w:rsidRPr="00F22F32" w:rsidRDefault="4AD22BCB">
            <w:r w:rsidRPr="00F22F32">
              <w:rPr>
                <w:rFonts w:ascii="Calibri" w:eastAsia="Calibri" w:hAnsi="Calibri" w:cs="Calibri"/>
              </w:rPr>
              <w:t>0%</w:t>
            </w:r>
          </w:p>
        </w:tc>
        <w:tc>
          <w:tcPr>
            <w:tcW w:w="1110" w:type="dxa"/>
            <w:tcBorders>
              <w:top w:val="single" w:sz="4" w:space="0" w:color="auto"/>
              <w:left w:val="single" w:sz="4" w:space="0" w:color="auto"/>
              <w:bottom w:val="single" w:sz="4" w:space="0" w:color="auto"/>
              <w:right w:val="single" w:sz="4" w:space="0" w:color="auto"/>
            </w:tcBorders>
            <w:shd w:val="clear" w:color="auto" w:fill="00B0F0"/>
            <w:vAlign w:val="bottom"/>
          </w:tcPr>
          <w:p w14:paraId="4AEAD508" w14:textId="57E32FA4" w:rsidR="4AD22BCB" w:rsidRPr="00F22F32" w:rsidRDefault="4AD22BCB">
            <w:r w:rsidRPr="00F22F32">
              <w:rPr>
                <w:rFonts w:ascii="Calibri" w:eastAsia="Calibri" w:hAnsi="Calibri" w:cs="Calibri"/>
              </w:rPr>
              <w:t>54%</w:t>
            </w:r>
          </w:p>
        </w:tc>
      </w:tr>
      <w:tr w:rsidR="00F22F32" w:rsidRPr="00F22F32" w14:paraId="16AF9B15" w14:textId="77777777" w:rsidTr="4AD22BCB">
        <w:trPr>
          <w:trHeight w:val="285"/>
        </w:trPr>
        <w:tc>
          <w:tcPr>
            <w:tcW w:w="3120" w:type="dxa"/>
            <w:tcBorders>
              <w:top w:val="single" w:sz="4" w:space="0" w:color="auto"/>
              <w:left w:val="single" w:sz="4" w:space="0" w:color="auto"/>
              <w:bottom w:val="single" w:sz="4" w:space="0" w:color="auto"/>
              <w:right w:val="single" w:sz="4" w:space="0" w:color="auto"/>
            </w:tcBorders>
            <w:vAlign w:val="bottom"/>
          </w:tcPr>
          <w:p w14:paraId="4858C77A" w14:textId="71696FA3" w:rsidR="4AD22BCB" w:rsidRPr="00F22F32" w:rsidRDefault="4AD22BCB" w:rsidP="4AD22BCB">
            <w:r w:rsidRPr="00F22F32">
              <w:rPr>
                <w:rFonts w:ascii="Calibri" w:eastAsia="Calibri" w:hAnsi="Calibri" w:cs="Calibri"/>
              </w:rPr>
              <w:t>Natural resources management</w:t>
            </w:r>
          </w:p>
        </w:tc>
        <w:tc>
          <w:tcPr>
            <w:tcW w:w="1275" w:type="dxa"/>
            <w:tcBorders>
              <w:top w:val="single" w:sz="4" w:space="0" w:color="auto"/>
              <w:left w:val="single" w:sz="4" w:space="0" w:color="auto"/>
              <w:bottom w:val="single" w:sz="4" w:space="0" w:color="auto"/>
              <w:right w:val="single" w:sz="4" w:space="0" w:color="auto"/>
            </w:tcBorders>
            <w:vAlign w:val="bottom"/>
          </w:tcPr>
          <w:p w14:paraId="04D004CE" w14:textId="30E935BB" w:rsidR="4AD22BCB" w:rsidRPr="00F22F32" w:rsidRDefault="4AD22BCB">
            <w:r w:rsidRPr="00F22F32">
              <w:rPr>
                <w:rFonts w:ascii="Calibri" w:eastAsia="Calibri" w:hAnsi="Calibri" w:cs="Calibri"/>
              </w:rPr>
              <w:t>16</w:t>
            </w:r>
          </w:p>
        </w:tc>
        <w:tc>
          <w:tcPr>
            <w:tcW w:w="855" w:type="dxa"/>
            <w:tcBorders>
              <w:top w:val="single" w:sz="4" w:space="0" w:color="auto"/>
              <w:left w:val="single" w:sz="4" w:space="0" w:color="auto"/>
              <w:bottom w:val="single" w:sz="4" w:space="0" w:color="auto"/>
              <w:right w:val="single" w:sz="4" w:space="0" w:color="auto"/>
            </w:tcBorders>
            <w:vAlign w:val="bottom"/>
          </w:tcPr>
          <w:p w14:paraId="35016527" w14:textId="05FC27EE" w:rsidR="4AD22BCB" w:rsidRPr="00F22F32" w:rsidRDefault="4AD22BCB">
            <w:r w:rsidRPr="00F22F32">
              <w:rPr>
                <w:rFonts w:ascii="Calibri" w:eastAsia="Calibri" w:hAnsi="Calibri" w:cs="Calibri"/>
              </w:rPr>
              <w:t>50%</w:t>
            </w:r>
          </w:p>
        </w:tc>
        <w:tc>
          <w:tcPr>
            <w:tcW w:w="930" w:type="dxa"/>
            <w:tcBorders>
              <w:top w:val="single" w:sz="4" w:space="0" w:color="auto"/>
              <w:left w:val="single" w:sz="4" w:space="0" w:color="auto"/>
              <w:bottom w:val="single" w:sz="4" w:space="0" w:color="auto"/>
              <w:right w:val="single" w:sz="4" w:space="0" w:color="auto"/>
            </w:tcBorders>
            <w:shd w:val="clear" w:color="auto" w:fill="FF4B4B"/>
            <w:vAlign w:val="bottom"/>
          </w:tcPr>
          <w:p w14:paraId="238407FD" w14:textId="61C7A7FC" w:rsidR="4AD22BCB" w:rsidRPr="00F22F32" w:rsidRDefault="4AD22BCB">
            <w:r w:rsidRPr="00F22F32">
              <w:rPr>
                <w:rFonts w:ascii="Calibri" w:eastAsia="Calibri" w:hAnsi="Calibri" w:cs="Calibri"/>
              </w:rPr>
              <w:t>25%</w:t>
            </w:r>
          </w:p>
        </w:tc>
        <w:tc>
          <w:tcPr>
            <w:tcW w:w="1080" w:type="dxa"/>
            <w:tcBorders>
              <w:top w:val="single" w:sz="4" w:space="0" w:color="auto"/>
              <w:left w:val="single" w:sz="4" w:space="0" w:color="auto"/>
              <w:bottom w:val="single" w:sz="4" w:space="0" w:color="auto"/>
              <w:right w:val="single" w:sz="4" w:space="0" w:color="auto"/>
            </w:tcBorders>
            <w:shd w:val="clear" w:color="auto" w:fill="FFC000" w:themeFill="accent4"/>
            <w:vAlign w:val="bottom"/>
          </w:tcPr>
          <w:p w14:paraId="5F55D162" w14:textId="1EDAF28C" w:rsidR="4AD22BCB" w:rsidRPr="00F22F32" w:rsidRDefault="4AD22BCB">
            <w:r w:rsidRPr="00F22F32">
              <w:rPr>
                <w:rFonts w:ascii="Calibri" w:eastAsia="Calibri" w:hAnsi="Calibri" w:cs="Calibri"/>
              </w:rPr>
              <w:t>25%</w:t>
            </w:r>
          </w:p>
        </w:tc>
        <w:tc>
          <w:tcPr>
            <w:tcW w:w="1125" w:type="dxa"/>
            <w:tcBorders>
              <w:top w:val="single" w:sz="4" w:space="0" w:color="auto"/>
              <w:left w:val="single" w:sz="4" w:space="0" w:color="auto"/>
              <w:bottom w:val="single" w:sz="4" w:space="0" w:color="auto"/>
              <w:right w:val="single" w:sz="4" w:space="0" w:color="auto"/>
            </w:tcBorders>
            <w:shd w:val="clear" w:color="auto" w:fill="00B050"/>
            <w:vAlign w:val="bottom"/>
          </w:tcPr>
          <w:p w14:paraId="31C3AB9E" w14:textId="7BA52028" w:rsidR="4AD22BCB" w:rsidRPr="00F22F32" w:rsidRDefault="4AD22BCB">
            <w:r w:rsidRPr="00F22F32">
              <w:rPr>
                <w:rFonts w:ascii="Calibri" w:eastAsia="Calibri" w:hAnsi="Calibri" w:cs="Calibri"/>
              </w:rPr>
              <w:t>0%</w:t>
            </w:r>
          </w:p>
        </w:tc>
        <w:tc>
          <w:tcPr>
            <w:tcW w:w="1110" w:type="dxa"/>
            <w:tcBorders>
              <w:top w:val="single" w:sz="4" w:space="0" w:color="auto"/>
              <w:left w:val="single" w:sz="4" w:space="0" w:color="auto"/>
              <w:bottom w:val="single" w:sz="4" w:space="0" w:color="auto"/>
              <w:right w:val="single" w:sz="4" w:space="0" w:color="auto"/>
            </w:tcBorders>
            <w:shd w:val="clear" w:color="auto" w:fill="00B0F0"/>
            <w:vAlign w:val="bottom"/>
          </w:tcPr>
          <w:p w14:paraId="469B0B2F" w14:textId="4852675C" w:rsidR="4AD22BCB" w:rsidRPr="00F22F32" w:rsidRDefault="4AD22BCB">
            <w:r w:rsidRPr="00F22F32">
              <w:rPr>
                <w:rFonts w:ascii="Calibri" w:eastAsia="Calibri" w:hAnsi="Calibri" w:cs="Calibri"/>
              </w:rPr>
              <w:t>50%</w:t>
            </w:r>
          </w:p>
        </w:tc>
      </w:tr>
      <w:tr w:rsidR="00F22F32" w:rsidRPr="00F22F32" w14:paraId="2085F82E" w14:textId="77777777" w:rsidTr="4AD22BCB">
        <w:trPr>
          <w:trHeight w:val="285"/>
        </w:trPr>
        <w:tc>
          <w:tcPr>
            <w:tcW w:w="3120" w:type="dxa"/>
            <w:tcBorders>
              <w:top w:val="single" w:sz="4" w:space="0" w:color="auto"/>
              <w:left w:val="single" w:sz="4" w:space="0" w:color="auto"/>
              <w:bottom w:val="single" w:sz="4" w:space="0" w:color="auto"/>
              <w:right w:val="single" w:sz="4" w:space="0" w:color="auto"/>
            </w:tcBorders>
            <w:vAlign w:val="bottom"/>
          </w:tcPr>
          <w:p w14:paraId="7A0B5FDC" w14:textId="10E10687" w:rsidR="4AD22BCB" w:rsidRPr="00F22F32" w:rsidRDefault="4AD22BCB" w:rsidP="4AD22BCB">
            <w:r w:rsidRPr="00F22F32">
              <w:rPr>
                <w:rFonts w:ascii="Calibri" w:eastAsia="Calibri" w:hAnsi="Calibri" w:cs="Calibri"/>
              </w:rPr>
              <w:t>Resilience</w:t>
            </w:r>
          </w:p>
        </w:tc>
        <w:tc>
          <w:tcPr>
            <w:tcW w:w="1275" w:type="dxa"/>
            <w:tcBorders>
              <w:top w:val="single" w:sz="4" w:space="0" w:color="auto"/>
              <w:left w:val="single" w:sz="4" w:space="0" w:color="auto"/>
              <w:bottom w:val="single" w:sz="4" w:space="0" w:color="auto"/>
              <w:right w:val="single" w:sz="4" w:space="0" w:color="auto"/>
            </w:tcBorders>
            <w:vAlign w:val="bottom"/>
          </w:tcPr>
          <w:p w14:paraId="788E6574" w14:textId="2F41CCAD" w:rsidR="4AD22BCB" w:rsidRPr="00F22F32" w:rsidRDefault="4AD22BCB">
            <w:r w:rsidRPr="00F22F32">
              <w:rPr>
                <w:rFonts w:ascii="Calibri" w:eastAsia="Calibri" w:hAnsi="Calibri" w:cs="Calibri"/>
              </w:rPr>
              <w:t>12</w:t>
            </w:r>
          </w:p>
        </w:tc>
        <w:tc>
          <w:tcPr>
            <w:tcW w:w="855" w:type="dxa"/>
            <w:tcBorders>
              <w:top w:val="single" w:sz="4" w:space="0" w:color="auto"/>
              <w:left w:val="single" w:sz="4" w:space="0" w:color="auto"/>
              <w:bottom w:val="single" w:sz="4" w:space="0" w:color="auto"/>
              <w:right w:val="single" w:sz="4" w:space="0" w:color="auto"/>
            </w:tcBorders>
            <w:vAlign w:val="bottom"/>
          </w:tcPr>
          <w:p w14:paraId="7E027EF5" w14:textId="253D5CD7" w:rsidR="4AD22BCB" w:rsidRPr="00F22F32" w:rsidRDefault="4AD22BCB">
            <w:r w:rsidRPr="00F22F32">
              <w:rPr>
                <w:rFonts w:ascii="Calibri" w:eastAsia="Calibri" w:hAnsi="Calibri" w:cs="Calibri"/>
              </w:rPr>
              <w:t>58%</w:t>
            </w:r>
          </w:p>
        </w:tc>
        <w:tc>
          <w:tcPr>
            <w:tcW w:w="930" w:type="dxa"/>
            <w:tcBorders>
              <w:top w:val="single" w:sz="4" w:space="0" w:color="auto"/>
              <w:left w:val="single" w:sz="4" w:space="0" w:color="auto"/>
              <w:bottom w:val="single" w:sz="4" w:space="0" w:color="auto"/>
              <w:right w:val="single" w:sz="4" w:space="0" w:color="auto"/>
            </w:tcBorders>
            <w:shd w:val="clear" w:color="auto" w:fill="FF4B4B"/>
            <w:vAlign w:val="bottom"/>
          </w:tcPr>
          <w:p w14:paraId="4D53E964" w14:textId="13D91D6E" w:rsidR="4AD22BCB" w:rsidRPr="00F22F32" w:rsidRDefault="4AD22BCB">
            <w:r w:rsidRPr="00F22F32">
              <w:rPr>
                <w:rFonts w:ascii="Calibri" w:eastAsia="Calibri" w:hAnsi="Calibri" w:cs="Calibri"/>
              </w:rPr>
              <w:t>43%</w:t>
            </w:r>
          </w:p>
        </w:tc>
        <w:tc>
          <w:tcPr>
            <w:tcW w:w="1080" w:type="dxa"/>
            <w:tcBorders>
              <w:top w:val="single" w:sz="4" w:space="0" w:color="auto"/>
              <w:left w:val="single" w:sz="4" w:space="0" w:color="auto"/>
              <w:bottom w:val="single" w:sz="4" w:space="0" w:color="auto"/>
              <w:right w:val="single" w:sz="4" w:space="0" w:color="auto"/>
            </w:tcBorders>
            <w:shd w:val="clear" w:color="auto" w:fill="FFC000" w:themeFill="accent4"/>
            <w:vAlign w:val="bottom"/>
          </w:tcPr>
          <w:p w14:paraId="46CE184A" w14:textId="6A245BC5" w:rsidR="4AD22BCB" w:rsidRPr="00F22F32" w:rsidRDefault="4AD22BCB">
            <w:r w:rsidRPr="00F22F32">
              <w:rPr>
                <w:rFonts w:ascii="Calibri" w:eastAsia="Calibri" w:hAnsi="Calibri" w:cs="Calibri"/>
              </w:rPr>
              <w:t>14%</w:t>
            </w:r>
          </w:p>
        </w:tc>
        <w:tc>
          <w:tcPr>
            <w:tcW w:w="1125" w:type="dxa"/>
            <w:tcBorders>
              <w:top w:val="single" w:sz="4" w:space="0" w:color="auto"/>
              <w:left w:val="single" w:sz="4" w:space="0" w:color="auto"/>
              <w:bottom w:val="single" w:sz="4" w:space="0" w:color="auto"/>
              <w:right w:val="single" w:sz="4" w:space="0" w:color="auto"/>
            </w:tcBorders>
            <w:shd w:val="clear" w:color="auto" w:fill="00B050"/>
            <w:vAlign w:val="bottom"/>
          </w:tcPr>
          <w:p w14:paraId="4842E461" w14:textId="101B4CA0" w:rsidR="4AD22BCB" w:rsidRPr="00F22F32" w:rsidRDefault="4AD22BCB">
            <w:r w:rsidRPr="00F22F32">
              <w:rPr>
                <w:rFonts w:ascii="Calibri" w:eastAsia="Calibri" w:hAnsi="Calibri" w:cs="Calibri"/>
              </w:rPr>
              <w:t>0%</w:t>
            </w:r>
          </w:p>
        </w:tc>
        <w:tc>
          <w:tcPr>
            <w:tcW w:w="1110" w:type="dxa"/>
            <w:tcBorders>
              <w:top w:val="single" w:sz="4" w:space="0" w:color="auto"/>
              <w:left w:val="single" w:sz="4" w:space="0" w:color="auto"/>
              <w:bottom w:val="single" w:sz="4" w:space="0" w:color="auto"/>
              <w:right w:val="single" w:sz="4" w:space="0" w:color="auto"/>
            </w:tcBorders>
            <w:shd w:val="clear" w:color="auto" w:fill="00B0F0"/>
            <w:vAlign w:val="bottom"/>
          </w:tcPr>
          <w:p w14:paraId="56CD0FC3" w14:textId="39C10E37" w:rsidR="4AD22BCB" w:rsidRPr="00F22F32" w:rsidRDefault="4AD22BCB">
            <w:r w:rsidRPr="00F22F32">
              <w:rPr>
                <w:rFonts w:ascii="Calibri" w:eastAsia="Calibri" w:hAnsi="Calibri" w:cs="Calibri"/>
              </w:rPr>
              <w:t>43%</w:t>
            </w:r>
          </w:p>
        </w:tc>
      </w:tr>
      <w:tr w:rsidR="00F22F32" w:rsidRPr="00F22F32" w14:paraId="7E1A5890" w14:textId="77777777" w:rsidTr="4AD22BCB">
        <w:trPr>
          <w:trHeight w:val="285"/>
        </w:trPr>
        <w:tc>
          <w:tcPr>
            <w:tcW w:w="3120" w:type="dxa"/>
            <w:tcBorders>
              <w:top w:val="single" w:sz="4" w:space="0" w:color="auto"/>
              <w:left w:val="single" w:sz="4" w:space="0" w:color="auto"/>
              <w:bottom w:val="single" w:sz="4" w:space="0" w:color="auto"/>
              <w:right w:val="single" w:sz="4" w:space="0" w:color="auto"/>
            </w:tcBorders>
            <w:vAlign w:val="bottom"/>
          </w:tcPr>
          <w:p w14:paraId="060EBFDE" w14:textId="6C7A1FEF" w:rsidR="4AD22BCB" w:rsidRPr="00F22F32" w:rsidRDefault="4AD22BCB" w:rsidP="4AD22BCB">
            <w:r w:rsidRPr="00F22F32">
              <w:rPr>
                <w:rFonts w:ascii="Calibri" w:eastAsia="Calibri" w:hAnsi="Calibri" w:cs="Calibri"/>
                <w:b/>
                <w:bCs/>
              </w:rPr>
              <w:t>Total</w:t>
            </w:r>
          </w:p>
        </w:tc>
        <w:tc>
          <w:tcPr>
            <w:tcW w:w="1275" w:type="dxa"/>
            <w:tcBorders>
              <w:top w:val="single" w:sz="4" w:space="0" w:color="auto"/>
              <w:left w:val="single" w:sz="4" w:space="0" w:color="auto"/>
              <w:bottom w:val="single" w:sz="4" w:space="0" w:color="auto"/>
              <w:right w:val="single" w:sz="4" w:space="0" w:color="auto"/>
            </w:tcBorders>
            <w:vAlign w:val="bottom"/>
          </w:tcPr>
          <w:p w14:paraId="043114B2" w14:textId="69AEAE63" w:rsidR="4AD22BCB" w:rsidRPr="00F22F32" w:rsidRDefault="4AD22BCB">
            <w:r w:rsidRPr="00F22F32">
              <w:rPr>
                <w:rFonts w:ascii="Calibri" w:eastAsia="Calibri" w:hAnsi="Calibri" w:cs="Calibri"/>
                <w:b/>
                <w:bCs/>
              </w:rPr>
              <w:t>161</w:t>
            </w:r>
          </w:p>
        </w:tc>
        <w:tc>
          <w:tcPr>
            <w:tcW w:w="855" w:type="dxa"/>
            <w:tcBorders>
              <w:top w:val="single" w:sz="4" w:space="0" w:color="auto"/>
              <w:left w:val="single" w:sz="4" w:space="0" w:color="auto"/>
              <w:bottom w:val="single" w:sz="4" w:space="0" w:color="auto"/>
              <w:right w:val="single" w:sz="4" w:space="0" w:color="auto"/>
            </w:tcBorders>
            <w:vAlign w:val="bottom"/>
          </w:tcPr>
          <w:p w14:paraId="26A8149C" w14:textId="09855B13" w:rsidR="4AD22BCB" w:rsidRPr="00F22F32" w:rsidRDefault="4AD22BCB">
            <w:r w:rsidRPr="00F22F32">
              <w:rPr>
                <w:rFonts w:ascii="Calibri" w:eastAsia="Calibri" w:hAnsi="Calibri" w:cs="Calibri"/>
                <w:b/>
                <w:bCs/>
              </w:rPr>
              <w:t>68%</w:t>
            </w:r>
          </w:p>
        </w:tc>
        <w:tc>
          <w:tcPr>
            <w:tcW w:w="930" w:type="dxa"/>
            <w:tcBorders>
              <w:top w:val="single" w:sz="4" w:space="0" w:color="auto"/>
              <w:left w:val="single" w:sz="4" w:space="0" w:color="auto"/>
              <w:bottom w:val="single" w:sz="4" w:space="0" w:color="auto"/>
              <w:right w:val="single" w:sz="4" w:space="0" w:color="auto"/>
            </w:tcBorders>
            <w:shd w:val="clear" w:color="auto" w:fill="FF4B4B"/>
            <w:vAlign w:val="bottom"/>
          </w:tcPr>
          <w:p w14:paraId="2C430CED" w14:textId="4B5C21ED" w:rsidR="4AD22BCB" w:rsidRPr="00F22F32" w:rsidRDefault="4AD22BCB">
            <w:r w:rsidRPr="00F22F32">
              <w:rPr>
                <w:rFonts w:ascii="Calibri" w:eastAsia="Calibri" w:hAnsi="Calibri" w:cs="Calibri"/>
                <w:b/>
                <w:bCs/>
              </w:rPr>
              <w:t>21%</w:t>
            </w:r>
          </w:p>
        </w:tc>
        <w:tc>
          <w:tcPr>
            <w:tcW w:w="1080" w:type="dxa"/>
            <w:tcBorders>
              <w:top w:val="single" w:sz="4" w:space="0" w:color="auto"/>
              <w:left w:val="single" w:sz="4" w:space="0" w:color="auto"/>
              <w:bottom w:val="single" w:sz="4" w:space="0" w:color="auto"/>
              <w:right w:val="single" w:sz="4" w:space="0" w:color="auto"/>
            </w:tcBorders>
            <w:shd w:val="clear" w:color="auto" w:fill="FFC000" w:themeFill="accent4"/>
            <w:vAlign w:val="bottom"/>
          </w:tcPr>
          <w:p w14:paraId="7FFCA5FF" w14:textId="450159DD" w:rsidR="4AD22BCB" w:rsidRPr="00F22F32" w:rsidRDefault="4AD22BCB">
            <w:r w:rsidRPr="00F22F32">
              <w:rPr>
                <w:rFonts w:ascii="Calibri" w:eastAsia="Calibri" w:hAnsi="Calibri" w:cs="Calibri"/>
                <w:b/>
                <w:bCs/>
              </w:rPr>
              <w:t>21%</w:t>
            </w:r>
          </w:p>
        </w:tc>
        <w:tc>
          <w:tcPr>
            <w:tcW w:w="1125" w:type="dxa"/>
            <w:tcBorders>
              <w:top w:val="single" w:sz="4" w:space="0" w:color="auto"/>
              <w:left w:val="single" w:sz="4" w:space="0" w:color="auto"/>
              <w:bottom w:val="single" w:sz="4" w:space="0" w:color="auto"/>
              <w:right w:val="single" w:sz="4" w:space="0" w:color="auto"/>
            </w:tcBorders>
            <w:shd w:val="clear" w:color="auto" w:fill="00B050"/>
            <w:vAlign w:val="bottom"/>
          </w:tcPr>
          <w:p w14:paraId="39F83FC0" w14:textId="66E3A1C5" w:rsidR="4AD22BCB" w:rsidRPr="00F22F32" w:rsidRDefault="4AD22BCB">
            <w:r w:rsidRPr="00F22F32">
              <w:rPr>
                <w:rFonts w:ascii="Calibri" w:eastAsia="Calibri" w:hAnsi="Calibri" w:cs="Calibri"/>
                <w:b/>
                <w:bCs/>
              </w:rPr>
              <w:t>5%</w:t>
            </w:r>
          </w:p>
        </w:tc>
        <w:tc>
          <w:tcPr>
            <w:tcW w:w="1110" w:type="dxa"/>
            <w:tcBorders>
              <w:top w:val="single" w:sz="4" w:space="0" w:color="auto"/>
              <w:left w:val="single" w:sz="4" w:space="0" w:color="auto"/>
              <w:bottom w:val="single" w:sz="4" w:space="0" w:color="auto"/>
              <w:right w:val="single" w:sz="4" w:space="0" w:color="auto"/>
            </w:tcBorders>
            <w:shd w:val="clear" w:color="auto" w:fill="00B0F0"/>
            <w:vAlign w:val="bottom"/>
          </w:tcPr>
          <w:p w14:paraId="0EF3A5AF" w14:textId="4CAE9689" w:rsidR="4AD22BCB" w:rsidRPr="00F22F32" w:rsidRDefault="4AD22BCB">
            <w:r w:rsidRPr="00F22F32">
              <w:rPr>
                <w:rFonts w:ascii="Calibri" w:eastAsia="Calibri" w:hAnsi="Calibri" w:cs="Calibri"/>
                <w:b/>
                <w:bCs/>
              </w:rPr>
              <w:t>54%</w:t>
            </w:r>
          </w:p>
        </w:tc>
      </w:tr>
    </w:tbl>
    <w:p w14:paraId="4DE6CBE5" w14:textId="7641C8BD" w:rsidR="003D0A9C" w:rsidRPr="00F22F32" w:rsidRDefault="003D0A9C" w:rsidP="4AD22BCB">
      <w:pPr>
        <w:rPr>
          <w:lang w:bidi="ar-SA"/>
        </w:rPr>
      </w:pPr>
    </w:p>
    <w:p w14:paraId="4FDC681F" w14:textId="428EE16A" w:rsidR="007626F3" w:rsidRPr="00F22F32" w:rsidRDefault="007626F3" w:rsidP="003D0A9C">
      <w:pPr>
        <w:rPr>
          <w:lang w:bidi="ar-SA"/>
        </w:rPr>
      </w:pPr>
    </w:p>
    <w:p w14:paraId="7E6A70BA" w14:textId="54738BE0" w:rsidR="007626F3" w:rsidRPr="00F22F32" w:rsidRDefault="007626F3" w:rsidP="003D0A9C">
      <w:pPr>
        <w:rPr>
          <w:lang w:bidi="ar-SA"/>
        </w:rPr>
      </w:pPr>
    </w:p>
    <w:p w14:paraId="6FC9F766" w14:textId="3224FAE4" w:rsidR="007626F3" w:rsidRPr="00F22F32" w:rsidRDefault="007626F3" w:rsidP="003D0A9C">
      <w:pPr>
        <w:rPr>
          <w:lang w:bidi="ar-SA"/>
        </w:rPr>
      </w:pPr>
    </w:p>
    <w:p w14:paraId="4FB9D9F7" w14:textId="27EBAA1B" w:rsidR="007626F3" w:rsidRPr="00F22F32" w:rsidRDefault="007626F3" w:rsidP="003D0A9C">
      <w:pPr>
        <w:rPr>
          <w:lang w:bidi="ar-SA"/>
        </w:rPr>
      </w:pPr>
    </w:p>
    <w:p w14:paraId="16E98B54" w14:textId="1892CDDD" w:rsidR="007626F3" w:rsidRPr="00F22F32" w:rsidRDefault="007626F3" w:rsidP="003D0A9C">
      <w:pPr>
        <w:rPr>
          <w:lang w:bidi="ar-SA"/>
        </w:rPr>
      </w:pPr>
    </w:p>
    <w:p w14:paraId="52F0618A" w14:textId="6ADAC532" w:rsidR="007626F3" w:rsidRPr="00F22F32" w:rsidRDefault="007626F3" w:rsidP="003D0A9C">
      <w:pPr>
        <w:rPr>
          <w:lang w:bidi="ar-SA"/>
        </w:rPr>
      </w:pPr>
    </w:p>
    <w:p w14:paraId="65CBF5BD" w14:textId="5C9F4720" w:rsidR="007626F3" w:rsidRPr="00F22F32" w:rsidRDefault="007626F3" w:rsidP="003D0A9C">
      <w:pPr>
        <w:rPr>
          <w:lang w:bidi="ar-SA"/>
        </w:rPr>
      </w:pPr>
    </w:p>
    <w:p w14:paraId="65786CF1" w14:textId="57F83CFB" w:rsidR="007626F3" w:rsidRPr="00F22F32" w:rsidRDefault="007626F3" w:rsidP="003D0A9C">
      <w:pPr>
        <w:rPr>
          <w:lang w:bidi="ar-SA"/>
        </w:rPr>
      </w:pPr>
    </w:p>
    <w:p w14:paraId="69484472" w14:textId="1476AC66" w:rsidR="007626F3" w:rsidRPr="00F22F32" w:rsidRDefault="007626F3" w:rsidP="003D0A9C">
      <w:pPr>
        <w:rPr>
          <w:lang w:bidi="ar-SA"/>
        </w:rPr>
      </w:pPr>
    </w:p>
    <w:p w14:paraId="27C07682" w14:textId="1D8F2E93" w:rsidR="007626F3" w:rsidRPr="00F22F32" w:rsidRDefault="007626F3" w:rsidP="003D0A9C">
      <w:pPr>
        <w:rPr>
          <w:lang w:bidi="ar-SA"/>
        </w:rPr>
      </w:pPr>
    </w:p>
    <w:p w14:paraId="18FA6C9C" w14:textId="5A2560C8" w:rsidR="007626F3" w:rsidRPr="00F22F32" w:rsidRDefault="007626F3" w:rsidP="003D0A9C">
      <w:pPr>
        <w:rPr>
          <w:lang w:bidi="ar-SA"/>
        </w:rPr>
      </w:pPr>
    </w:p>
    <w:p w14:paraId="66FEB6C4" w14:textId="54B65C70" w:rsidR="007626F3" w:rsidRPr="00F22F32" w:rsidRDefault="007626F3" w:rsidP="003D0A9C">
      <w:pPr>
        <w:rPr>
          <w:lang w:bidi="ar-SA"/>
        </w:rPr>
      </w:pPr>
    </w:p>
    <w:p w14:paraId="7305095B" w14:textId="2344CBA4" w:rsidR="007626F3" w:rsidRPr="00F22F32" w:rsidRDefault="007626F3" w:rsidP="003D0A9C">
      <w:pPr>
        <w:rPr>
          <w:lang w:bidi="ar-SA"/>
        </w:rPr>
      </w:pPr>
    </w:p>
    <w:p w14:paraId="3633D3B8" w14:textId="77777777" w:rsidR="007626F3" w:rsidRPr="00F22F32" w:rsidRDefault="007626F3" w:rsidP="003D0A9C">
      <w:pPr>
        <w:rPr>
          <w:lang w:bidi="ar-SA"/>
        </w:rPr>
        <w:sectPr w:rsidR="007626F3" w:rsidRPr="00F22F32" w:rsidSect="005B27FF">
          <w:type w:val="continuous"/>
          <w:pgSz w:w="12240" w:h="15840"/>
          <w:pgMar w:top="1440" w:right="1440" w:bottom="1440" w:left="1440" w:header="720" w:footer="720" w:gutter="0"/>
          <w:pgNumType w:start="0"/>
          <w:cols w:space="720"/>
          <w:titlePg/>
          <w:docGrid w:linePitch="360"/>
        </w:sectPr>
      </w:pPr>
    </w:p>
    <w:p w14:paraId="2145157E" w14:textId="3AE32A26" w:rsidR="007626F3" w:rsidRPr="00F22F32" w:rsidRDefault="007626F3" w:rsidP="007626F3">
      <w:pPr>
        <w:pStyle w:val="Heading2"/>
        <w:numPr>
          <w:ilvl w:val="0"/>
          <w:numId w:val="58"/>
        </w:numPr>
        <w:rPr>
          <w:color w:val="auto"/>
        </w:rPr>
      </w:pPr>
      <w:bookmarkStart w:id="32" w:name="_Toc71207086"/>
      <w:r w:rsidRPr="00F22F32">
        <w:rPr>
          <w:color w:val="auto"/>
        </w:rPr>
        <w:lastRenderedPageBreak/>
        <w:t>Joint Programs</w:t>
      </w:r>
      <w:bookmarkEnd w:id="32"/>
    </w:p>
    <w:tbl>
      <w:tblPr>
        <w:tblW w:w="13323" w:type="dxa"/>
        <w:tblLook w:val="04A0" w:firstRow="1" w:lastRow="0" w:firstColumn="1" w:lastColumn="0" w:noHBand="0" w:noVBand="1"/>
      </w:tblPr>
      <w:tblGrid>
        <w:gridCol w:w="1514"/>
        <w:gridCol w:w="3161"/>
        <w:gridCol w:w="1170"/>
        <w:gridCol w:w="1170"/>
        <w:gridCol w:w="4140"/>
        <w:gridCol w:w="2168"/>
      </w:tblGrid>
      <w:tr w:rsidR="00F22F32" w:rsidRPr="00F22F32" w14:paraId="2AC23BA4" w14:textId="77777777" w:rsidTr="0F957377">
        <w:trPr>
          <w:trHeight w:val="620"/>
        </w:trPr>
        <w:tc>
          <w:tcPr>
            <w:tcW w:w="11155" w:type="dxa"/>
            <w:gridSpan w:val="5"/>
            <w:tcBorders>
              <w:top w:val="single" w:sz="4" w:space="0" w:color="auto"/>
              <w:left w:val="single" w:sz="4" w:space="0" w:color="auto"/>
              <w:bottom w:val="single" w:sz="4" w:space="0" w:color="auto"/>
              <w:right w:val="single" w:sz="4" w:space="0" w:color="auto"/>
            </w:tcBorders>
            <w:shd w:val="clear" w:color="auto" w:fill="FFD966" w:themeFill="accent4" w:themeFillTint="99"/>
            <w:noWrap/>
            <w:vAlign w:val="center"/>
            <w:hideMark/>
          </w:tcPr>
          <w:p w14:paraId="4A0759AD" w14:textId="49DB1B76" w:rsidR="007626F3" w:rsidRPr="00F22F32" w:rsidRDefault="007626F3" w:rsidP="006D150A">
            <w:pPr>
              <w:jc w:val="center"/>
              <w:rPr>
                <w:rFonts w:ascii="Calibri" w:eastAsia="Times New Roman" w:hAnsi="Calibri" w:cs="Calibri"/>
                <w:b/>
                <w:bCs/>
                <w:sz w:val="18"/>
                <w:szCs w:val="18"/>
              </w:rPr>
            </w:pPr>
            <w:r w:rsidRPr="00F22F32">
              <w:rPr>
                <w:rFonts w:ascii="Calibri" w:eastAsia="Times New Roman" w:hAnsi="Calibri" w:cs="Calibri"/>
                <w:b/>
                <w:bCs/>
                <w:sz w:val="18"/>
                <w:szCs w:val="18"/>
              </w:rPr>
              <w:t>Joint Programs</w:t>
            </w:r>
          </w:p>
        </w:tc>
        <w:tc>
          <w:tcPr>
            <w:tcW w:w="2168" w:type="dxa"/>
            <w:tcBorders>
              <w:top w:val="single" w:sz="4" w:space="0" w:color="auto"/>
              <w:left w:val="nil"/>
              <w:bottom w:val="single" w:sz="4" w:space="0" w:color="auto"/>
              <w:right w:val="single" w:sz="4" w:space="0" w:color="auto"/>
            </w:tcBorders>
            <w:shd w:val="clear" w:color="auto" w:fill="FFD966" w:themeFill="accent4" w:themeFillTint="99"/>
            <w:noWrap/>
            <w:vAlign w:val="center"/>
            <w:hideMark/>
          </w:tcPr>
          <w:p w14:paraId="17080C08" w14:textId="77777777" w:rsidR="007626F3" w:rsidRPr="00F22F32" w:rsidRDefault="007626F3" w:rsidP="006D150A">
            <w:pPr>
              <w:jc w:val="center"/>
              <w:rPr>
                <w:rFonts w:ascii="Calibri" w:eastAsia="Times New Roman" w:hAnsi="Calibri" w:cs="Calibri"/>
                <w:b/>
                <w:bCs/>
                <w:sz w:val="18"/>
                <w:szCs w:val="18"/>
              </w:rPr>
            </w:pPr>
            <w:r w:rsidRPr="00F22F32">
              <w:rPr>
                <w:rFonts w:ascii="Calibri" w:eastAsia="Times New Roman" w:hAnsi="Calibri" w:cs="Calibri"/>
                <w:b/>
                <w:bCs/>
                <w:sz w:val="18"/>
                <w:szCs w:val="18"/>
              </w:rPr>
              <w:t> </w:t>
            </w:r>
          </w:p>
        </w:tc>
      </w:tr>
      <w:tr w:rsidR="00F22F32" w:rsidRPr="00F22F32" w14:paraId="57C639F0" w14:textId="77777777" w:rsidTr="0F957377">
        <w:trPr>
          <w:trHeight w:val="750"/>
        </w:trPr>
        <w:tc>
          <w:tcPr>
            <w:tcW w:w="1514" w:type="dxa"/>
            <w:tcBorders>
              <w:top w:val="nil"/>
              <w:left w:val="single" w:sz="4" w:space="0" w:color="auto"/>
              <w:bottom w:val="single" w:sz="4" w:space="0" w:color="auto"/>
              <w:right w:val="single" w:sz="4" w:space="0" w:color="auto"/>
            </w:tcBorders>
            <w:shd w:val="clear" w:color="auto" w:fill="C6E0B4"/>
            <w:vAlign w:val="center"/>
            <w:hideMark/>
          </w:tcPr>
          <w:p w14:paraId="7876C6E9" w14:textId="77777777" w:rsidR="007626F3" w:rsidRPr="00F22F32" w:rsidRDefault="007626F3" w:rsidP="006D150A">
            <w:pPr>
              <w:jc w:val="center"/>
              <w:rPr>
                <w:rFonts w:ascii="Calibri" w:eastAsia="Times New Roman" w:hAnsi="Calibri" w:cs="Calibri"/>
                <w:b/>
                <w:bCs/>
                <w:sz w:val="18"/>
                <w:szCs w:val="18"/>
              </w:rPr>
            </w:pPr>
            <w:r w:rsidRPr="00F22F32">
              <w:rPr>
                <w:rFonts w:ascii="Calibri" w:eastAsia="Times New Roman" w:hAnsi="Calibri" w:cs="Calibri"/>
                <w:b/>
                <w:bCs/>
                <w:sz w:val="18"/>
                <w:szCs w:val="18"/>
              </w:rPr>
              <w:t>Division/Unit/ Sector/office</w:t>
            </w:r>
          </w:p>
        </w:tc>
        <w:tc>
          <w:tcPr>
            <w:tcW w:w="3161" w:type="dxa"/>
            <w:tcBorders>
              <w:top w:val="nil"/>
              <w:left w:val="nil"/>
              <w:bottom w:val="single" w:sz="4" w:space="0" w:color="auto"/>
              <w:right w:val="single" w:sz="4" w:space="0" w:color="auto"/>
            </w:tcBorders>
            <w:shd w:val="clear" w:color="auto" w:fill="C6E0B4"/>
            <w:vAlign w:val="center"/>
            <w:hideMark/>
          </w:tcPr>
          <w:p w14:paraId="7FB9CBA8" w14:textId="77777777" w:rsidR="007626F3" w:rsidRPr="00F22F32" w:rsidRDefault="007626F3" w:rsidP="006D150A">
            <w:pPr>
              <w:jc w:val="center"/>
              <w:rPr>
                <w:rFonts w:ascii="Calibri" w:eastAsia="Times New Roman" w:hAnsi="Calibri" w:cs="Calibri"/>
                <w:b/>
                <w:bCs/>
                <w:sz w:val="18"/>
                <w:szCs w:val="18"/>
              </w:rPr>
            </w:pPr>
            <w:r w:rsidRPr="00F22F32">
              <w:rPr>
                <w:rFonts w:ascii="Calibri" w:eastAsia="Times New Roman" w:hAnsi="Calibri" w:cs="Calibri"/>
                <w:b/>
                <w:bCs/>
                <w:sz w:val="18"/>
                <w:szCs w:val="18"/>
              </w:rPr>
              <w:t>Description of Programme/Fund     including thematic focus</w:t>
            </w:r>
          </w:p>
        </w:tc>
        <w:tc>
          <w:tcPr>
            <w:tcW w:w="1170" w:type="dxa"/>
            <w:tcBorders>
              <w:top w:val="nil"/>
              <w:left w:val="nil"/>
              <w:bottom w:val="single" w:sz="4" w:space="0" w:color="auto"/>
              <w:right w:val="single" w:sz="4" w:space="0" w:color="auto"/>
            </w:tcBorders>
            <w:shd w:val="clear" w:color="auto" w:fill="C6E0B4"/>
            <w:vAlign w:val="center"/>
            <w:hideMark/>
          </w:tcPr>
          <w:p w14:paraId="15C6E558" w14:textId="77777777" w:rsidR="007626F3" w:rsidRPr="00F22F32" w:rsidRDefault="007626F3" w:rsidP="006D150A">
            <w:pPr>
              <w:jc w:val="center"/>
              <w:rPr>
                <w:rFonts w:ascii="Calibri" w:eastAsia="Times New Roman" w:hAnsi="Calibri" w:cs="Calibri"/>
                <w:b/>
                <w:bCs/>
                <w:sz w:val="18"/>
                <w:szCs w:val="18"/>
              </w:rPr>
            </w:pPr>
            <w:r w:rsidRPr="00F22F32">
              <w:rPr>
                <w:rFonts w:ascii="Calibri" w:eastAsia="Times New Roman" w:hAnsi="Calibri" w:cs="Calibri"/>
                <w:b/>
                <w:bCs/>
                <w:sz w:val="18"/>
                <w:szCs w:val="18"/>
              </w:rPr>
              <w:t xml:space="preserve">Lead Agency    </w:t>
            </w:r>
          </w:p>
        </w:tc>
        <w:tc>
          <w:tcPr>
            <w:tcW w:w="1170" w:type="dxa"/>
            <w:tcBorders>
              <w:top w:val="nil"/>
              <w:left w:val="nil"/>
              <w:bottom w:val="single" w:sz="4" w:space="0" w:color="auto"/>
              <w:right w:val="single" w:sz="4" w:space="0" w:color="auto"/>
            </w:tcBorders>
            <w:shd w:val="clear" w:color="auto" w:fill="C6E0B4"/>
            <w:vAlign w:val="center"/>
            <w:hideMark/>
          </w:tcPr>
          <w:p w14:paraId="0A591772" w14:textId="77777777" w:rsidR="007626F3" w:rsidRPr="00F22F32" w:rsidRDefault="007626F3" w:rsidP="006D150A">
            <w:pPr>
              <w:jc w:val="center"/>
              <w:rPr>
                <w:rFonts w:ascii="Calibri" w:eastAsia="Times New Roman" w:hAnsi="Calibri" w:cs="Calibri"/>
                <w:b/>
                <w:bCs/>
                <w:sz w:val="18"/>
                <w:szCs w:val="18"/>
              </w:rPr>
            </w:pPr>
            <w:r w:rsidRPr="00F22F32">
              <w:rPr>
                <w:rFonts w:ascii="Calibri" w:eastAsia="Times New Roman" w:hAnsi="Calibri" w:cs="Calibri"/>
                <w:b/>
                <w:bCs/>
                <w:sz w:val="18"/>
                <w:szCs w:val="18"/>
              </w:rPr>
              <w:t>Participating Agencies</w:t>
            </w:r>
          </w:p>
        </w:tc>
        <w:tc>
          <w:tcPr>
            <w:tcW w:w="4140" w:type="dxa"/>
            <w:tcBorders>
              <w:top w:val="nil"/>
              <w:left w:val="nil"/>
              <w:bottom w:val="single" w:sz="4" w:space="0" w:color="auto"/>
              <w:right w:val="single" w:sz="4" w:space="0" w:color="auto"/>
            </w:tcBorders>
            <w:shd w:val="clear" w:color="auto" w:fill="C6E0B4"/>
            <w:vAlign w:val="center"/>
            <w:hideMark/>
          </w:tcPr>
          <w:p w14:paraId="16E525EA" w14:textId="77777777" w:rsidR="007626F3" w:rsidRPr="00F22F32" w:rsidRDefault="007626F3" w:rsidP="006D150A">
            <w:pPr>
              <w:jc w:val="center"/>
              <w:rPr>
                <w:rFonts w:ascii="Calibri" w:eastAsia="Times New Roman" w:hAnsi="Calibri" w:cs="Calibri"/>
                <w:b/>
                <w:bCs/>
                <w:sz w:val="18"/>
                <w:szCs w:val="18"/>
              </w:rPr>
            </w:pPr>
            <w:r w:rsidRPr="00F22F32">
              <w:rPr>
                <w:rFonts w:ascii="Calibri" w:eastAsia="Times New Roman" w:hAnsi="Calibri" w:cs="Calibri"/>
                <w:b/>
                <w:bCs/>
                <w:sz w:val="18"/>
                <w:szCs w:val="18"/>
              </w:rPr>
              <w:t>Other partners (non-UN) - including private sector, South South, Foundations</w:t>
            </w:r>
          </w:p>
        </w:tc>
        <w:tc>
          <w:tcPr>
            <w:tcW w:w="2168" w:type="dxa"/>
            <w:tcBorders>
              <w:top w:val="nil"/>
              <w:left w:val="nil"/>
              <w:bottom w:val="single" w:sz="4" w:space="0" w:color="auto"/>
              <w:right w:val="single" w:sz="4" w:space="0" w:color="auto"/>
            </w:tcBorders>
            <w:shd w:val="clear" w:color="auto" w:fill="C6E0B4"/>
            <w:vAlign w:val="center"/>
            <w:hideMark/>
          </w:tcPr>
          <w:p w14:paraId="6FEC5001" w14:textId="1F7FAA51" w:rsidR="007626F3" w:rsidRPr="00F22F32" w:rsidRDefault="007626F3" w:rsidP="006D150A">
            <w:pPr>
              <w:rPr>
                <w:rFonts w:ascii="Calibri" w:eastAsia="Times New Roman" w:hAnsi="Calibri" w:cs="Calibri"/>
                <w:b/>
                <w:bCs/>
                <w:sz w:val="18"/>
                <w:szCs w:val="18"/>
              </w:rPr>
            </w:pPr>
            <w:r w:rsidRPr="00F22F32">
              <w:rPr>
                <w:rFonts w:ascii="Calibri" w:eastAsia="Times New Roman" w:hAnsi="Calibri" w:cs="Calibri"/>
                <w:b/>
                <w:bCs/>
                <w:sz w:val="18"/>
                <w:szCs w:val="18"/>
              </w:rPr>
              <w:t xml:space="preserve">Total  agreement Amount </w:t>
            </w:r>
          </w:p>
        </w:tc>
      </w:tr>
      <w:tr w:rsidR="00F22F32" w:rsidRPr="00F22F32" w14:paraId="6B4ACBD6" w14:textId="77777777" w:rsidTr="006D150A">
        <w:trPr>
          <w:trHeight w:val="620"/>
        </w:trPr>
        <w:tc>
          <w:tcPr>
            <w:tcW w:w="1514" w:type="dxa"/>
            <w:tcBorders>
              <w:top w:val="nil"/>
              <w:left w:val="single" w:sz="4" w:space="0" w:color="auto"/>
              <w:bottom w:val="single" w:sz="4" w:space="0" w:color="auto"/>
              <w:right w:val="single" w:sz="4" w:space="0" w:color="auto"/>
            </w:tcBorders>
            <w:shd w:val="clear" w:color="auto" w:fill="auto"/>
            <w:vAlign w:val="center"/>
            <w:hideMark/>
          </w:tcPr>
          <w:p w14:paraId="6AA98487"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Child Protection, Social Policy, Evaluation &amp; Research</w:t>
            </w:r>
          </w:p>
        </w:tc>
        <w:tc>
          <w:tcPr>
            <w:tcW w:w="3161" w:type="dxa"/>
            <w:tcBorders>
              <w:top w:val="nil"/>
              <w:left w:val="nil"/>
              <w:bottom w:val="single" w:sz="4" w:space="0" w:color="auto"/>
              <w:right w:val="single" w:sz="4" w:space="0" w:color="auto"/>
            </w:tcBorders>
            <w:shd w:val="clear" w:color="auto" w:fill="auto"/>
            <w:vAlign w:val="center"/>
            <w:hideMark/>
          </w:tcPr>
          <w:p w14:paraId="044E0ECE"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Joint Programme on Social Protection</w:t>
            </w:r>
          </w:p>
        </w:tc>
        <w:tc>
          <w:tcPr>
            <w:tcW w:w="1170" w:type="dxa"/>
            <w:tcBorders>
              <w:top w:val="nil"/>
              <w:left w:val="nil"/>
              <w:bottom w:val="single" w:sz="4" w:space="0" w:color="auto"/>
              <w:right w:val="single" w:sz="4" w:space="0" w:color="auto"/>
            </w:tcBorders>
            <w:shd w:val="clear" w:color="auto" w:fill="auto"/>
            <w:noWrap/>
            <w:vAlign w:val="center"/>
            <w:hideMark/>
          </w:tcPr>
          <w:p w14:paraId="419AAD8F"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UNICEF</w:t>
            </w:r>
          </w:p>
        </w:tc>
        <w:tc>
          <w:tcPr>
            <w:tcW w:w="1170" w:type="dxa"/>
            <w:tcBorders>
              <w:top w:val="nil"/>
              <w:left w:val="nil"/>
              <w:bottom w:val="single" w:sz="4" w:space="0" w:color="auto"/>
              <w:right w:val="single" w:sz="4" w:space="0" w:color="auto"/>
            </w:tcBorders>
            <w:shd w:val="clear" w:color="auto" w:fill="auto"/>
            <w:vAlign w:val="center"/>
            <w:hideMark/>
          </w:tcPr>
          <w:p w14:paraId="66010DAE"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ILO</w:t>
            </w:r>
          </w:p>
        </w:tc>
        <w:tc>
          <w:tcPr>
            <w:tcW w:w="4140" w:type="dxa"/>
            <w:tcBorders>
              <w:top w:val="nil"/>
              <w:left w:val="nil"/>
              <w:bottom w:val="single" w:sz="4" w:space="0" w:color="auto"/>
              <w:right w:val="single" w:sz="4" w:space="0" w:color="auto"/>
            </w:tcBorders>
            <w:shd w:val="clear" w:color="auto" w:fill="auto"/>
            <w:vAlign w:val="center"/>
            <w:hideMark/>
          </w:tcPr>
          <w:p w14:paraId="5176B808"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Ministry of Gender, Children and Social Action, National Institute of Social Action, Ministry of Finance, World Bank, Irish Aid.</w:t>
            </w:r>
          </w:p>
        </w:tc>
        <w:tc>
          <w:tcPr>
            <w:tcW w:w="2168" w:type="dxa"/>
            <w:tcBorders>
              <w:top w:val="nil"/>
              <w:left w:val="nil"/>
              <w:bottom w:val="single" w:sz="4" w:space="0" w:color="auto"/>
              <w:right w:val="single" w:sz="4" w:space="0" w:color="auto"/>
            </w:tcBorders>
            <w:shd w:val="clear" w:color="auto" w:fill="auto"/>
            <w:noWrap/>
            <w:vAlign w:val="center"/>
            <w:hideMark/>
          </w:tcPr>
          <w:p w14:paraId="527EF35B"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 xml:space="preserve">$22,771,270 </w:t>
            </w:r>
          </w:p>
        </w:tc>
      </w:tr>
      <w:tr w:rsidR="00F22F32" w:rsidRPr="00F22F32" w14:paraId="054A3D04" w14:textId="77777777" w:rsidTr="006D150A">
        <w:trPr>
          <w:trHeight w:val="620"/>
        </w:trPr>
        <w:tc>
          <w:tcPr>
            <w:tcW w:w="1514" w:type="dxa"/>
            <w:tcBorders>
              <w:top w:val="nil"/>
              <w:left w:val="single" w:sz="4" w:space="0" w:color="auto"/>
              <w:bottom w:val="single" w:sz="4" w:space="0" w:color="auto"/>
              <w:right w:val="single" w:sz="4" w:space="0" w:color="auto"/>
            </w:tcBorders>
            <w:shd w:val="clear" w:color="auto" w:fill="auto"/>
            <w:noWrap/>
            <w:vAlign w:val="center"/>
            <w:hideMark/>
          </w:tcPr>
          <w:p w14:paraId="2F7AD285"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Health &amp; Nutrition</w:t>
            </w:r>
          </w:p>
        </w:tc>
        <w:tc>
          <w:tcPr>
            <w:tcW w:w="3161" w:type="dxa"/>
            <w:tcBorders>
              <w:top w:val="nil"/>
              <w:left w:val="nil"/>
              <w:bottom w:val="single" w:sz="4" w:space="0" w:color="auto"/>
              <w:right w:val="single" w:sz="4" w:space="0" w:color="auto"/>
            </w:tcBorders>
            <w:shd w:val="clear" w:color="auto" w:fill="auto"/>
            <w:vAlign w:val="center"/>
            <w:hideMark/>
          </w:tcPr>
          <w:p w14:paraId="15EB02DF"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Improving sexual RMNCAH</w:t>
            </w:r>
          </w:p>
        </w:tc>
        <w:tc>
          <w:tcPr>
            <w:tcW w:w="1170" w:type="dxa"/>
            <w:tcBorders>
              <w:top w:val="nil"/>
              <w:left w:val="nil"/>
              <w:bottom w:val="single" w:sz="4" w:space="0" w:color="auto"/>
              <w:right w:val="single" w:sz="4" w:space="0" w:color="auto"/>
            </w:tcBorders>
            <w:shd w:val="clear" w:color="auto" w:fill="auto"/>
            <w:noWrap/>
            <w:vAlign w:val="center"/>
            <w:hideMark/>
          </w:tcPr>
          <w:p w14:paraId="73D9F495"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UNFPA</w:t>
            </w:r>
          </w:p>
        </w:tc>
        <w:tc>
          <w:tcPr>
            <w:tcW w:w="1170" w:type="dxa"/>
            <w:tcBorders>
              <w:top w:val="nil"/>
              <w:left w:val="nil"/>
              <w:bottom w:val="single" w:sz="4" w:space="0" w:color="auto"/>
              <w:right w:val="single" w:sz="4" w:space="0" w:color="auto"/>
            </w:tcBorders>
            <w:shd w:val="clear" w:color="auto" w:fill="auto"/>
            <w:vAlign w:val="center"/>
            <w:hideMark/>
          </w:tcPr>
          <w:p w14:paraId="0B88F497"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UNICEF, UNFPA, WHO</w:t>
            </w:r>
          </w:p>
        </w:tc>
        <w:tc>
          <w:tcPr>
            <w:tcW w:w="4140" w:type="dxa"/>
            <w:tcBorders>
              <w:top w:val="nil"/>
              <w:left w:val="nil"/>
              <w:bottom w:val="single" w:sz="4" w:space="0" w:color="auto"/>
              <w:right w:val="single" w:sz="4" w:space="0" w:color="auto"/>
            </w:tcBorders>
            <w:shd w:val="clear" w:color="auto" w:fill="auto"/>
            <w:vAlign w:val="center"/>
            <w:hideMark/>
          </w:tcPr>
          <w:p w14:paraId="201BED18"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Ministry of Health, Ministry of Public Works, Housing and Water Resources, National Directorate of Water Supply and Sanitation</w:t>
            </w:r>
          </w:p>
        </w:tc>
        <w:tc>
          <w:tcPr>
            <w:tcW w:w="2168" w:type="dxa"/>
            <w:tcBorders>
              <w:top w:val="nil"/>
              <w:left w:val="nil"/>
              <w:bottom w:val="single" w:sz="4" w:space="0" w:color="auto"/>
              <w:right w:val="single" w:sz="4" w:space="0" w:color="auto"/>
            </w:tcBorders>
            <w:shd w:val="clear" w:color="auto" w:fill="auto"/>
            <w:noWrap/>
            <w:vAlign w:val="center"/>
            <w:hideMark/>
          </w:tcPr>
          <w:p w14:paraId="6A6379F3"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 xml:space="preserve">$13,479,479 </w:t>
            </w:r>
          </w:p>
        </w:tc>
      </w:tr>
      <w:tr w:rsidR="00F22F32" w:rsidRPr="00F22F32" w14:paraId="4CD63EDE" w14:textId="77777777" w:rsidTr="006D150A">
        <w:trPr>
          <w:trHeight w:val="620"/>
        </w:trPr>
        <w:tc>
          <w:tcPr>
            <w:tcW w:w="1514" w:type="dxa"/>
            <w:tcBorders>
              <w:top w:val="nil"/>
              <w:left w:val="single" w:sz="4" w:space="0" w:color="auto"/>
              <w:bottom w:val="single" w:sz="4" w:space="0" w:color="auto"/>
              <w:right w:val="single" w:sz="4" w:space="0" w:color="auto"/>
            </w:tcBorders>
            <w:shd w:val="clear" w:color="auto" w:fill="auto"/>
            <w:vAlign w:val="center"/>
            <w:hideMark/>
          </w:tcPr>
          <w:p w14:paraId="0C137ED9"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Health &amp; Nutrition</w:t>
            </w:r>
          </w:p>
        </w:tc>
        <w:tc>
          <w:tcPr>
            <w:tcW w:w="3161" w:type="dxa"/>
            <w:tcBorders>
              <w:top w:val="nil"/>
              <w:left w:val="nil"/>
              <w:bottom w:val="single" w:sz="4" w:space="0" w:color="auto"/>
              <w:right w:val="single" w:sz="4" w:space="0" w:color="auto"/>
            </w:tcBorders>
            <w:shd w:val="clear" w:color="auto" w:fill="auto"/>
            <w:vAlign w:val="center"/>
            <w:hideMark/>
          </w:tcPr>
          <w:p w14:paraId="62F60DBE"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Lean season nutrition response and resilience building</w:t>
            </w:r>
          </w:p>
        </w:tc>
        <w:tc>
          <w:tcPr>
            <w:tcW w:w="1170" w:type="dxa"/>
            <w:tcBorders>
              <w:top w:val="nil"/>
              <w:left w:val="nil"/>
              <w:bottom w:val="single" w:sz="4" w:space="0" w:color="auto"/>
              <w:right w:val="single" w:sz="4" w:space="0" w:color="auto"/>
            </w:tcBorders>
            <w:shd w:val="clear" w:color="auto" w:fill="auto"/>
            <w:noWrap/>
            <w:vAlign w:val="center"/>
            <w:hideMark/>
          </w:tcPr>
          <w:p w14:paraId="147A13BC"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UNICEF, WFP</w:t>
            </w:r>
          </w:p>
        </w:tc>
        <w:tc>
          <w:tcPr>
            <w:tcW w:w="1170" w:type="dxa"/>
            <w:tcBorders>
              <w:top w:val="nil"/>
              <w:left w:val="nil"/>
              <w:bottom w:val="single" w:sz="4" w:space="0" w:color="auto"/>
              <w:right w:val="single" w:sz="4" w:space="0" w:color="auto"/>
            </w:tcBorders>
            <w:shd w:val="clear" w:color="auto" w:fill="auto"/>
            <w:vAlign w:val="center"/>
            <w:hideMark/>
          </w:tcPr>
          <w:p w14:paraId="2A53C161"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UNICEF, WFP</w:t>
            </w:r>
          </w:p>
        </w:tc>
        <w:tc>
          <w:tcPr>
            <w:tcW w:w="4140" w:type="dxa"/>
            <w:tcBorders>
              <w:top w:val="nil"/>
              <w:left w:val="nil"/>
              <w:bottom w:val="single" w:sz="4" w:space="0" w:color="auto"/>
              <w:right w:val="single" w:sz="4" w:space="0" w:color="auto"/>
            </w:tcBorders>
            <w:shd w:val="clear" w:color="auto" w:fill="auto"/>
            <w:vAlign w:val="center"/>
            <w:hideMark/>
          </w:tcPr>
          <w:p w14:paraId="6A2E74E9"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 xml:space="preserve">Ministry of Health </w:t>
            </w:r>
          </w:p>
        </w:tc>
        <w:tc>
          <w:tcPr>
            <w:tcW w:w="2168" w:type="dxa"/>
            <w:tcBorders>
              <w:top w:val="nil"/>
              <w:left w:val="nil"/>
              <w:bottom w:val="single" w:sz="4" w:space="0" w:color="auto"/>
              <w:right w:val="single" w:sz="4" w:space="0" w:color="auto"/>
            </w:tcBorders>
            <w:shd w:val="clear" w:color="auto" w:fill="auto"/>
            <w:noWrap/>
            <w:vAlign w:val="center"/>
            <w:hideMark/>
          </w:tcPr>
          <w:p w14:paraId="13480436"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 xml:space="preserve">$3,171,611 </w:t>
            </w:r>
          </w:p>
        </w:tc>
      </w:tr>
      <w:tr w:rsidR="00F22F32" w:rsidRPr="00F22F32" w14:paraId="47CCBBC1" w14:textId="77777777" w:rsidTr="006D150A">
        <w:trPr>
          <w:trHeight w:val="620"/>
        </w:trPr>
        <w:tc>
          <w:tcPr>
            <w:tcW w:w="1514" w:type="dxa"/>
            <w:tcBorders>
              <w:top w:val="nil"/>
              <w:left w:val="single" w:sz="4" w:space="0" w:color="auto"/>
              <w:bottom w:val="single" w:sz="4" w:space="0" w:color="auto"/>
              <w:right w:val="single" w:sz="4" w:space="0" w:color="auto"/>
            </w:tcBorders>
            <w:shd w:val="clear" w:color="auto" w:fill="auto"/>
            <w:vAlign w:val="center"/>
            <w:hideMark/>
          </w:tcPr>
          <w:p w14:paraId="5236ADC7"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Communication, Advocacy &amp; Partnerships</w:t>
            </w:r>
          </w:p>
        </w:tc>
        <w:tc>
          <w:tcPr>
            <w:tcW w:w="3161" w:type="dxa"/>
            <w:tcBorders>
              <w:top w:val="nil"/>
              <w:left w:val="nil"/>
              <w:bottom w:val="single" w:sz="4" w:space="0" w:color="auto"/>
              <w:right w:val="single" w:sz="4" w:space="0" w:color="auto"/>
            </w:tcBorders>
            <w:shd w:val="clear" w:color="auto" w:fill="auto"/>
            <w:vAlign w:val="center"/>
            <w:hideMark/>
          </w:tcPr>
          <w:p w14:paraId="16B5910C" w14:textId="7FB5A64F"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 xml:space="preserve">Action for girls and young women's sexual and </w:t>
            </w:r>
            <w:r w:rsidR="001A5034" w:rsidRPr="00F22F32">
              <w:rPr>
                <w:rFonts w:ascii="Calibri" w:eastAsia="Times New Roman" w:hAnsi="Calibri" w:cs="Calibri"/>
                <w:sz w:val="18"/>
                <w:szCs w:val="18"/>
              </w:rPr>
              <w:t>reproductive</w:t>
            </w:r>
            <w:r w:rsidRPr="00F22F32">
              <w:rPr>
                <w:rFonts w:ascii="Calibri" w:eastAsia="Times New Roman" w:hAnsi="Calibri" w:cs="Calibri"/>
                <w:sz w:val="18"/>
                <w:szCs w:val="18"/>
              </w:rPr>
              <w:t xml:space="preserve"> health and rights in Mozambique</w:t>
            </w:r>
          </w:p>
        </w:tc>
        <w:tc>
          <w:tcPr>
            <w:tcW w:w="1170" w:type="dxa"/>
            <w:tcBorders>
              <w:top w:val="nil"/>
              <w:left w:val="nil"/>
              <w:bottom w:val="single" w:sz="4" w:space="0" w:color="auto"/>
              <w:right w:val="single" w:sz="4" w:space="0" w:color="auto"/>
            </w:tcBorders>
            <w:shd w:val="clear" w:color="auto" w:fill="auto"/>
            <w:noWrap/>
            <w:vAlign w:val="center"/>
            <w:hideMark/>
          </w:tcPr>
          <w:p w14:paraId="4E8A4676"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UNFPA</w:t>
            </w:r>
          </w:p>
        </w:tc>
        <w:tc>
          <w:tcPr>
            <w:tcW w:w="1170" w:type="dxa"/>
            <w:tcBorders>
              <w:top w:val="nil"/>
              <w:left w:val="nil"/>
              <w:bottom w:val="single" w:sz="4" w:space="0" w:color="auto"/>
              <w:right w:val="single" w:sz="4" w:space="0" w:color="auto"/>
            </w:tcBorders>
            <w:shd w:val="clear" w:color="auto" w:fill="auto"/>
            <w:vAlign w:val="center"/>
            <w:hideMark/>
          </w:tcPr>
          <w:p w14:paraId="29BDF330" w14:textId="77777777" w:rsidR="007626F3" w:rsidRPr="00F22F32" w:rsidRDefault="007626F3" w:rsidP="006D150A">
            <w:pPr>
              <w:rPr>
                <w:rFonts w:ascii="Calibri" w:eastAsia="Times New Roman" w:hAnsi="Calibri" w:cs="Calibri"/>
                <w:sz w:val="18"/>
                <w:szCs w:val="18"/>
                <w:lang w:val="es-US"/>
              </w:rPr>
            </w:pPr>
            <w:r w:rsidRPr="00F22F32">
              <w:rPr>
                <w:rFonts w:ascii="Calibri" w:eastAsia="Times New Roman" w:hAnsi="Calibri" w:cs="Calibri"/>
                <w:sz w:val="18"/>
                <w:szCs w:val="18"/>
                <w:lang w:val="es-US"/>
              </w:rPr>
              <w:t>UNICEF, UNFPA, UN Women, UNESCO, UNRCO</w:t>
            </w:r>
          </w:p>
        </w:tc>
        <w:tc>
          <w:tcPr>
            <w:tcW w:w="4140" w:type="dxa"/>
            <w:tcBorders>
              <w:top w:val="nil"/>
              <w:left w:val="nil"/>
              <w:bottom w:val="single" w:sz="4" w:space="0" w:color="auto"/>
              <w:right w:val="single" w:sz="4" w:space="0" w:color="auto"/>
            </w:tcBorders>
            <w:shd w:val="clear" w:color="auto" w:fill="auto"/>
            <w:vAlign w:val="center"/>
            <w:hideMark/>
          </w:tcPr>
          <w:p w14:paraId="77273580"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Ministry of Youth &amp; Sports</w:t>
            </w:r>
          </w:p>
        </w:tc>
        <w:tc>
          <w:tcPr>
            <w:tcW w:w="2168" w:type="dxa"/>
            <w:tcBorders>
              <w:top w:val="nil"/>
              <w:left w:val="nil"/>
              <w:bottom w:val="single" w:sz="4" w:space="0" w:color="auto"/>
              <w:right w:val="single" w:sz="4" w:space="0" w:color="auto"/>
            </w:tcBorders>
            <w:shd w:val="clear" w:color="auto" w:fill="auto"/>
            <w:noWrap/>
            <w:vAlign w:val="center"/>
            <w:hideMark/>
          </w:tcPr>
          <w:p w14:paraId="363C7120"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 xml:space="preserve">$3,114,014 </w:t>
            </w:r>
          </w:p>
        </w:tc>
      </w:tr>
      <w:tr w:rsidR="00F22F32" w:rsidRPr="00F22F32" w14:paraId="7D2BCD86" w14:textId="77777777" w:rsidTr="006D150A">
        <w:trPr>
          <w:trHeight w:val="620"/>
        </w:trPr>
        <w:tc>
          <w:tcPr>
            <w:tcW w:w="1514" w:type="dxa"/>
            <w:tcBorders>
              <w:top w:val="nil"/>
              <w:left w:val="single" w:sz="4" w:space="0" w:color="auto"/>
              <w:bottom w:val="single" w:sz="4" w:space="0" w:color="auto"/>
              <w:right w:val="single" w:sz="4" w:space="0" w:color="auto"/>
            </w:tcBorders>
            <w:shd w:val="clear" w:color="auto" w:fill="auto"/>
            <w:noWrap/>
            <w:vAlign w:val="center"/>
            <w:hideMark/>
          </w:tcPr>
          <w:p w14:paraId="144BC0DE"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Child Protection</w:t>
            </w:r>
          </w:p>
        </w:tc>
        <w:tc>
          <w:tcPr>
            <w:tcW w:w="3161" w:type="dxa"/>
            <w:tcBorders>
              <w:top w:val="nil"/>
              <w:left w:val="nil"/>
              <w:bottom w:val="single" w:sz="4" w:space="0" w:color="auto"/>
              <w:right w:val="single" w:sz="4" w:space="0" w:color="auto"/>
            </w:tcBorders>
            <w:shd w:val="clear" w:color="auto" w:fill="auto"/>
            <w:vAlign w:val="center"/>
            <w:hideMark/>
          </w:tcPr>
          <w:p w14:paraId="3932D1C0"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Strengthening civil registration and vital statistics</w:t>
            </w:r>
          </w:p>
        </w:tc>
        <w:tc>
          <w:tcPr>
            <w:tcW w:w="1170" w:type="dxa"/>
            <w:tcBorders>
              <w:top w:val="nil"/>
              <w:left w:val="nil"/>
              <w:bottom w:val="single" w:sz="4" w:space="0" w:color="auto"/>
              <w:right w:val="single" w:sz="4" w:space="0" w:color="auto"/>
            </w:tcBorders>
            <w:shd w:val="clear" w:color="auto" w:fill="auto"/>
            <w:noWrap/>
            <w:vAlign w:val="center"/>
            <w:hideMark/>
          </w:tcPr>
          <w:p w14:paraId="6DA58911"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UNICEF</w:t>
            </w:r>
          </w:p>
        </w:tc>
        <w:tc>
          <w:tcPr>
            <w:tcW w:w="1170" w:type="dxa"/>
            <w:tcBorders>
              <w:top w:val="nil"/>
              <w:left w:val="nil"/>
              <w:bottom w:val="single" w:sz="4" w:space="0" w:color="auto"/>
              <w:right w:val="single" w:sz="4" w:space="0" w:color="auto"/>
            </w:tcBorders>
            <w:shd w:val="clear" w:color="auto" w:fill="auto"/>
            <w:noWrap/>
            <w:vAlign w:val="center"/>
            <w:hideMark/>
          </w:tcPr>
          <w:p w14:paraId="0288349C"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UNICEF, WHO</w:t>
            </w:r>
          </w:p>
        </w:tc>
        <w:tc>
          <w:tcPr>
            <w:tcW w:w="4140" w:type="dxa"/>
            <w:tcBorders>
              <w:top w:val="nil"/>
              <w:left w:val="nil"/>
              <w:bottom w:val="single" w:sz="4" w:space="0" w:color="auto"/>
              <w:right w:val="single" w:sz="4" w:space="0" w:color="auto"/>
            </w:tcBorders>
            <w:shd w:val="clear" w:color="auto" w:fill="auto"/>
            <w:vAlign w:val="center"/>
            <w:hideMark/>
          </w:tcPr>
          <w:p w14:paraId="3E56F9A6"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Ministry of Justice Constitutional and Religious Affairs, Ministry of Health, National Institute of Statistics, University of Toronto, Centre for Global Health Research</w:t>
            </w:r>
            <w:r w:rsidRPr="00F22F32">
              <w:rPr>
                <w:rFonts w:ascii="Calibri" w:eastAsia="Times New Roman" w:hAnsi="Calibri" w:cs="Calibri"/>
                <w:sz w:val="18"/>
                <w:szCs w:val="18"/>
              </w:rPr>
              <w:br/>
              <w:t>Save the Children</w:t>
            </w:r>
          </w:p>
        </w:tc>
        <w:tc>
          <w:tcPr>
            <w:tcW w:w="2168" w:type="dxa"/>
            <w:tcBorders>
              <w:top w:val="nil"/>
              <w:left w:val="nil"/>
              <w:bottom w:val="single" w:sz="4" w:space="0" w:color="auto"/>
              <w:right w:val="single" w:sz="4" w:space="0" w:color="auto"/>
            </w:tcBorders>
            <w:shd w:val="clear" w:color="auto" w:fill="auto"/>
            <w:noWrap/>
            <w:vAlign w:val="center"/>
            <w:hideMark/>
          </w:tcPr>
          <w:p w14:paraId="29B418E5"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 xml:space="preserve">$11,740,984 </w:t>
            </w:r>
          </w:p>
        </w:tc>
      </w:tr>
      <w:tr w:rsidR="00F22F32" w:rsidRPr="00F22F32" w14:paraId="1E054B72" w14:textId="77777777" w:rsidTr="006D150A">
        <w:trPr>
          <w:trHeight w:val="620"/>
        </w:trPr>
        <w:tc>
          <w:tcPr>
            <w:tcW w:w="1514" w:type="dxa"/>
            <w:tcBorders>
              <w:top w:val="nil"/>
              <w:left w:val="single" w:sz="4" w:space="0" w:color="auto"/>
              <w:bottom w:val="single" w:sz="4" w:space="0" w:color="auto"/>
              <w:right w:val="single" w:sz="4" w:space="0" w:color="auto"/>
            </w:tcBorders>
            <w:shd w:val="clear" w:color="auto" w:fill="auto"/>
            <w:noWrap/>
            <w:vAlign w:val="center"/>
            <w:hideMark/>
          </w:tcPr>
          <w:p w14:paraId="147880B3"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Child Protection</w:t>
            </w:r>
          </w:p>
        </w:tc>
        <w:tc>
          <w:tcPr>
            <w:tcW w:w="3161" w:type="dxa"/>
            <w:tcBorders>
              <w:top w:val="nil"/>
              <w:left w:val="nil"/>
              <w:bottom w:val="single" w:sz="4" w:space="0" w:color="auto"/>
              <w:right w:val="single" w:sz="4" w:space="0" w:color="auto"/>
            </w:tcBorders>
            <w:shd w:val="clear" w:color="auto" w:fill="auto"/>
            <w:vAlign w:val="center"/>
            <w:hideMark/>
          </w:tcPr>
          <w:p w14:paraId="6DEDFF9B"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Global Programme to accelerate action to end child marriage</w:t>
            </w:r>
          </w:p>
        </w:tc>
        <w:tc>
          <w:tcPr>
            <w:tcW w:w="1170" w:type="dxa"/>
            <w:tcBorders>
              <w:top w:val="nil"/>
              <w:left w:val="nil"/>
              <w:bottom w:val="single" w:sz="4" w:space="0" w:color="auto"/>
              <w:right w:val="single" w:sz="4" w:space="0" w:color="auto"/>
            </w:tcBorders>
            <w:shd w:val="clear" w:color="auto" w:fill="auto"/>
            <w:noWrap/>
            <w:vAlign w:val="center"/>
            <w:hideMark/>
          </w:tcPr>
          <w:p w14:paraId="5E73E06E"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UNICEF</w:t>
            </w:r>
          </w:p>
        </w:tc>
        <w:tc>
          <w:tcPr>
            <w:tcW w:w="1170" w:type="dxa"/>
            <w:tcBorders>
              <w:top w:val="nil"/>
              <w:left w:val="nil"/>
              <w:bottom w:val="single" w:sz="4" w:space="0" w:color="auto"/>
              <w:right w:val="single" w:sz="4" w:space="0" w:color="auto"/>
            </w:tcBorders>
            <w:shd w:val="clear" w:color="auto" w:fill="auto"/>
            <w:vAlign w:val="center"/>
            <w:hideMark/>
          </w:tcPr>
          <w:p w14:paraId="1E75D75F"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UNFPA, UNDP, UN Women, IOM</w:t>
            </w:r>
          </w:p>
        </w:tc>
        <w:tc>
          <w:tcPr>
            <w:tcW w:w="4140" w:type="dxa"/>
            <w:tcBorders>
              <w:top w:val="nil"/>
              <w:left w:val="nil"/>
              <w:bottom w:val="single" w:sz="4" w:space="0" w:color="auto"/>
              <w:right w:val="single" w:sz="4" w:space="0" w:color="auto"/>
            </w:tcBorders>
            <w:shd w:val="clear" w:color="auto" w:fill="auto"/>
            <w:vAlign w:val="center"/>
            <w:hideMark/>
          </w:tcPr>
          <w:p w14:paraId="29D41135" w14:textId="76BA3070"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Ministry of Education, Ministry of Gender, Children and Social Action, Save the Children, FDC, World Vision, WEI, FHI360</w:t>
            </w:r>
          </w:p>
        </w:tc>
        <w:tc>
          <w:tcPr>
            <w:tcW w:w="2168" w:type="dxa"/>
            <w:tcBorders>
              <w:top w:val="nil"/>
              <w:left w:val="nil"/>
              <w:bottom w:val="single" w:sz="4" w:space="0" w:color="auto"/>
              <w:right w:val="single" w:sz="4" w:space="0" w:color="auto"/>
            </w:tcBorders>
            <w:shd w:val="clear" w:color="auto" w:fill="auto"/>
            <w:noWrap/>
            <w:vAlign w:val="center"/>
            <w:hideMark/>
          </w:tcPr>
          <w:p w14:paraId="47A4F2D9"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 xml:space="preserve">$2,561,209 </w:t>
            </w:r>
          </w:p>
        </w:tc>
      </w:tr>
      <w:tr w:rsidR="00F22F32" w:rsidRPr="00F22F32" w14:paraId="2D1035AC" w14:textId="77777777" w:rsidTr="006D150A">
        <w:trPr>
          <w:trHeight w:val="620"/>
        </w:trPr>
        <w:tc>
          <w:tcPr>
            <w:tcW w:w="1514" w:type="dxa"/>
            <w:tcBorders>
              <w:top w:val="nil"/>
              <w:left w:val="single" w:sz="4" w:space="0" w:color="auto"/>
              <w:bottom w:val="single" w:sz="4" w:space="0" w:color="auto"/>
              <w:right w:val="single" w:sz="4" w:space="0" w:color="auto"/>
            </w:tcBorders>
            <w:shd w:val="clear" w:color="auto" w:fill="auto"/>
            <w:noWrap/>
            <w:vAlign w:val="center"/>
            <w:hideMark/>
          </w:tcPr>
          <w:p w14:paraId="4C2C1B5F"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Child Protection</w:t>
            </w:r>
          </w:p>
        </w:tc>
        <w:tc>
          <w:tcPr>
            <w:tcW w:w="3161" w:type="dxa"/>
            <w:tcBorders>
              <w:top w:val="nil"/>
              <w:left w:val="nil"/>
              <w:bottom w:val="single" w:sz="4" w:space="0" w:color="auto"/>
              <w:right w:val="single" w:sz="4" w:space="0" w:color="auto"/>
            </w:tcBorders>
            <w:shd w:val="clear" w:color="auto" w:fill="auto"/>
            <w:vAlign w:val="center"/>
            <w:hideMark/>
          </w:tcPr>
          <w:p w14:paraId="5322E5E0"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Support to Social Protection</w:t>
            </w:r>
          </w:p>
        </w:tc>
        <w:tc>
          <w:tcPr>
            <w:tcW w:w="1170" w:type="dxa"/>
            <w:tcBorders>
              <w:top w:val="nil"/>
              <w:left w:val="nil"/>
              <w:bottom w:val="single" w:sz="4" w:space="0" w:color="auto"/>
              <w:right w:val="single" w:sz="4" w:space="0" w:color="auto"/>
            </w:tcBorders>
            <w:shd w:val="clear" w:color="auto" w:fill="auto"/>
            <w:noWrap/>
            <w:vAlign w:val="center"/>
            <w:hideMark/>
          </w:tcPr>
          <w:p w14:paraId="7CD99E75"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UNICEF</w:t>
            </w:r>
          </w:p>
        </w:tc>
        <w:tc>
          <w:tcPr>
            <w:tcW w:w="1170" w:type="dxa"/>
            <w:tcBorders>
              <w:top w:val="nil"/>
              <w:left w:val="nil"/>
              <w:bottom w:val="single" w:sz="4" w:space="0" w:color="auto"/>
              <w:right w:val="single" w:sz="4" w:space="0" w:color="auto"/>
            </w:tcBorders>
            <w:shd w:val="clear" w:color="auto" w:fill="auto"/>
            <w:noWrap/>
            <w:vAlign w:val="center"/>
            <w:hideMark/>
          </w:tcPr>
          <w:p w14:paraId="43A0F7C6"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UNICEF, ILO</w:t>
            </w:r>
          </w:p>
        </w:tc>
        <w:tc>
          <w:tcPr>
            <w:tcW w:w="4140" w:type="dxa"/>
            <w:tcBorders>
              <w:top w:val="nil"/>
              <w:left w:val="nil"/>
              <w:bottom w:val="single" w:sz="4" w:space="0" w:color="auto"/>
              <w:right w:val="single" w:sz="4" w:space="0" w:color="auto"/>
            </w:tcBorders>
            <w:shd w:val="clear" w:color="auto" w:fill="auto"/>
            <w:vAlign w:val="center"/>
            <w:hideMark/>
          </w:tcPr>
          <w:p w14:paraId="114E37C8"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 xml:space="preserve">Ministry of Gender, Children and Social Action, Mozambican Civil Society Platform for Social Protection, District Office of Health, Women and Social Action </w:t>
            </w:r>
          </w:p>
        </w:tc>
        <w:tc>
          <w:tcPr>
            <w:tcW w:w="2168" w:type="dxa"/>
            <w:tcBorders>
              <w:top w:val="nil"/>
              <w:left w:val="nil"/>
              <w:bottom w:val="single" w:sz="4" w:space="0" w:color="auto"/>
              <w:right w:val="single" w:sz="4" w:space="0" w:color="auto"/>
            </w:tcBorders>
            <w:shd w:val="clear" w:color="auto" w:fill="auto"/>
            <w:noWrap/>
            <w:vAlign w:val="center"/>
            <w:hideMark/>
          </w:tcPr>
          <w:p w14:paraId="00BEA6C3"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 xml:space="preserve">$568,182 </w:t>
            </w:r>
          </w:p>
        </w:tc>
      </w:tr>
      <w:tr w:rsidR="00F22F32" w:rsidRPr="00F22F32" w14:paraId="5CE01308" w14:textId="77777777" w:rsidTr="006D150A">
        <w:trPr>
          <w:trHeight w:val="620"/>
        </w:trPr>
        <w:tc>
          <w:tcPr>
            <w:tcW w:w="1514" w:type="dxa"/>
            <w:tcBorders>
              <w:top w:val="nil"/>
              <w:left w:val="single" w:sz="4" w:space="0" w:color="auto"/>
              <w:bottom w:val="single" w:sz="4" w:space="0" w:color="auto"/>
              <w:right w:val="single" w:sz="4" w:space="0" w:color="auto"/>
            </w:tcBorders>
            <w:shd w:val="clear" w:color="auto" w:fill="auto"/>
            <w:noWrap/>
            <w:vAlign w:val="bottom"/>
            <w:hideMark/>
          </w:tcPr>
          <w:p w14:paraId="61E7CF1E"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Education</w:t>
            </w:r>
          </w:p>
        </w:tc>
        <w:tc>
          <w:tcPr>
            <w:tcW w:w="3161" w:type="dxa"/>
            <w:tcBorders>
              <w:top w:val="nil"/>
              <w:left w:val="nil"/>
              <w:bottom w:val="single" w:sz="4" w:space="0" w:color="auto"/>
              <w:right w:val="single" w:sz="4" w:space="0" w:color="auto"/>
            </w:tcBorders>
            <w:shd w:val="clear" w:color="auto" w:fill="auto"/>
            <w:vAlign w:val="bottom"/>
            <w:hideMark/>
          </w:tcPr>
          <w:p w14:paraId="150189C1" w14:textId="5FE12FBF"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 xml:space="preserve">Building Resilience through Education and Youth engagement in cyclone affected schools in </w:t>
            </w:r>
            <w:r w:rsidR="001A5034" w:rsidRPr="00F22F32">
              <w:rPr>
                <w:rFonts w:ascii="Calibri" w:eastAsia="Times New Roman" w:hAnsi="Calibri" w:cs="Calibri"/>
                <w:sz w:val="18"/>
                <w:szCs w:val="18"/>
              </w:rPr>
              <w:t>Mozambique</w:t>
            </w:r>
          </w:p>
        </w:tc>
        <w:tc>
          <w:tcPr>
            <w:tcW w:w="1170" w:type="dxa"/>
            <w:tcBorders>
              <w:top w:val="nil"/>
              <w:left w:val="nil"/>
              <w:bottom w:val="single" w:sz="4" w:space="0" w:color="auto"/>
              <w:right w:val="single" w:sz="4" w:space="0" w:color="auto"/>
            </w:tcBorders>
            <w:shd w:val="clear" w:color="auto" w:fill="auto"/>
            <w:noWrap/>
            <w:vAlign w:val="bottom"/>
            <w:hideMark/>
          </w:tcPr>
          <w:p w14:paraId="770E76CB"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UNICEF, UN-Habitat</w:t>
            </w:r>
          </w:p>
        </w:tc>
        <w:tc>
          <w:tcPr>
            <w:tcW w:w="1170" w:type="dxa"/>
            <w:tcBorders>
              <w:top w:val="nil"/>
              <w:left w:val="nil"/>
              <w:bottom w:val="single" w:sz="4" w:space="0" w:color="auto"/>
              <w:right w:val="single" w:sz="4" w:space="0" w:color="auto"/>
            </w:tcBorders>
            <w:shd w:val="clear" w:color="auto" w:fill="auto"/>
            <w:noWrap/>
            <w:vAlign w:val="bottom"/>
            <w:hideMark/>
          </w:tcPr>
          <w:p w14:paraId="00F0471B"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UNICEF, UN-Habitat</w:t>
            </w:r>
          </w:p>
        </w:tc>
        <w:tc>
          <w:tcPr>
            <w:tcW w:w="4140" w:type="dxa"/>
            <w:tcBorders>
              <w:top w:val="nil"/>
              <w:left w:val="nil"/>
              <w:bottom w:val="single" w:sz="4" w:space="0" w:color="auto"/>
              <w:right w:val="single" w:sz="4" w:space="0" w:color="auto"/>
            </w:tcBorders>
            <w:shd w:val="clear" w:color="auto" w:fill="auto"/>
            <w:vAlign w:val="bottom"/>
            <w:hideMark/>
          </w:tcPr>
          <w:p w14:paraId="1CE485F1"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Ministry of Education, Education Cluster</w:t>
            </w:r>
          </w:p>
        </w:tc>
        <w:tc>
          <w:tcPr>
            <w:tcW w:w="2168" w:type="dxa"/>
            <w:tcBorders>
              <w:top w:val="nil"/>
              <w:left w:val="nil"/>
              <w:bottom w:val="single" w:sz="4" w:space="0" w:color="auto"/>
              <w:right w:val="single" w:sz="4" w:space="0" w:color="auto"/>
            </w:tcBorders>
            <w:shd w:val="clear" w:color="auto" w:fill="auto"/>
            <w:noWrap/>
            <w:vAlign w:val="center"/>
            <w:hideMark/>
          </w:tcPr>
          <w:p w14:paraId="05F32BB3"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 xml:space="preserve">$4,694,217 </w:t>
            </w:r>
          </w:p>
        </w:tc>
      </w:tr>
      <w:tr w:rsidR="00F22F32" w:rsidRPr="00F22F32" w14:paraId="629AECFD" w14:textId="77777777" w:rsidTr="006D150A">
        <w:trPr>
          <w:trHeight w:val="620"/>
        </w:trPr>
        <w:tc>
          <w:tcPr>
            <w:tcW w:w="1514" w:type="dxa"/>
            <w:tcBorders>
              <w:top w:val="nil"/>
              <w:left w:val="single" w:sz="4" w:space="0" w:color="auto"/>
              <w:bottom w:val="single" w:sz="4" w:space="0" w:color="auto"/>
              <w:right w:val="single" w:sz="4" w:space="0" w:color="auto"/>
            </w:tcBorders>
            <w:shd w:val="clear" w:color="auto" w:fill="auto"/>
            <w:noWrap/>
            <w:vAlign w:val="center"/>
            <w:hideMark/>
          </w:tcPr>
          <w:p w14:paraId="1B47076B"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lastRenderedPageBreak/>
              <w:t>Education</w:t>
            </w:r>
          </w:p>
        </w:tc>
        <w:tc>
          <w:tcPr>
            <w:tcW w:w="3161" w:type="dxa"/>
            <w:tcBorders>
              <w:top w:val="nil"/>
              <w:left w:val="nil"/>
              <w:bottom w:val="single" w:sz="4" w:space="0" w:color="auto"/>
              <w:right w:val="single" w:sz="4" w:space="0" w:color="auto"/>
            </w:tcBorders>
            <w:shd w:val="clear" w:color="auto" w:fill="auto"/>
            <w:vAlign w:val="center"/>
            <w:hideMark/>
          </w:tcPr>
          <w:p w14:paraId="0EF44614"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Education cannot wait in communities affected by cyclones and floods in Mozambique</w:t>
            </w:r>
          </w:p>
        </w:tc>
        <w:tc>
          <w:tcPr>
            <w:tcW w:w="1170" w:type="dxa"/>
            <w:tcBorders>
              <w:top w:val="nil"/>
              <w:left w:val="nil"/>
              <w:bottom w:val="single" w:sz="4" w:space="0" w:color="auto"/>
              <w:right w:val="single" w:sz="4" w:space="0" w:color="auto"/>
            </w:tcBorders>
            <w:shd w:val="clear" w:color="auto" w:fill="auto"/>
            <w:noWrap/>
            <w:vAlign w:val="center"/>
            <w:hideMark/>
          </w:tcPr>
          <w:p w14:paraId="4C311534"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UNICEF</w:t>
            </w:r>
          </w:p>
        </w:tc>
        <w:tc>
          <w:tcPr>
            <w:tcW w:w="1170" w:type="dxa"/>
            <w:tcBorders>
              <w:top w:val="nil"/>
              <w:left w:val="nil"/>
              <w:bottom w:val="single" w:sz="4" w:space="0" w:color="auto"/>
              <w:right w:val="single" w:sz="4" w:space="0" w:color="auto"/>
            </w:tcBorders>
            <w:shd w:val="clear" w:color="auto" w:fill="auto"/>
            <w:noWrap/>
            <w:vAlign w:val="center"/>
            <w:hideMark/>
          </w:tcPr>
          <w:p w14:paraId="12073E9D"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UN Habitat</w:t>
            </w:r>
          </w:p>
        </w:tc>
        <w:tc>
          <w:tcPr>
            <w:tcW w:w="4140" w:type="dxa"/>
            <w:tcBorders>
              <w:top w:val="nil"/>
              <w:left w:val="nil"/>
              <w:bottom w:val="single" w:sz="4" w:space="0" w:color="auto"/>
              <w:right w:val="single" w:sz="4" w:space="0" w:color="auto"/>
            </w:tcBorders>
            <w:shd w:val="clear" w:color="auto" w:fill="auto"/>
            <w:vAlign w:val="center"/>
            <w:hideMark/>
          </w:tcPr>
          <w:p w14:paraId="3AF9D4E4"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Ministry of Education, Education Cluster</w:t>
            </w:r>
          </w:p>
        </w:tc>
        <w:tc>
          <w:tcPr>
            <w:tcW w:w="2168" w:type="dxa"/>
            <w:tcBorders>
              <w:top w:val="nil"/>
              <w:left w:val="nil"/>
              <w:bottom w:val="single" w:sz="4" w:space="0" w:color="auto"/>
              <w:right w:val="single" w:sz="4" w:space="0" w:color="auto"/>
            </w:tcBorders>
            <w:shd w:val="clear" w:color="auto" w:fill="auto"/>
            <w:noWrap/>
            <w:vAlign w:val="center"/>
            <w:hideMark/>
          </w:tcPr>
          <w:p w14:paraId="1D691016"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 xml:space="preserve">$3,990,395 </w:t>
            </w:r>
          </w:p>
        </w:tc>
      </w:tr>
      <w:tr w:rsidR="00F22F32" w:rsidRPr="00F22F32" w14:paraId="376A3552" w14:textId="77777777" w:rsidTr="002F5FDF">
        <w:trPr>
          <w:trHeight w:val="620"/>
        </w:trPr>
        <w:tc>
          <w:tcPr>
            <w:tcW w:w="1514" w:type="dxa"/>
            <w:tcBorders>
              <w:top w:val="nil"/>
              <w:left w:val="single" w:sz="4" w:space="0" w:color="auto"/>
              <w:bottom w:val="single" w:sz="4" w:space="0" w:color="auto"/>
              <w:right w:val="single" w:sz="4" w:space="0" w:color="auto"/>
            </w:tcBorders>
            <w:shd w:val="clear" w:color="auto" w:fill="auto"/>
            <w:vAlign w:val="center"/>
            <w:hideMark/>
          </w:tcPr>
          <w:p w14:paraId="6C828D4F" w14:textId="77777777" w:rsidR="007626F3" w:rsidRPr="00F22F32" w:rsidRDefault="007626F3" w:rsidP="006171FD">
            <w:pPr>
              <w:rPr>
                <w:rFonts w:ascii="Calibri" w:eastAsia="Times New Roman" w:hAnsi="Calibri" w:cs="Calibri"/>
                <w:sz w:val="18"/>
                <w:szCs w:val="18"/>
              </w:rPr>
            </w:pPr>
            <w:r w:rsidRPr="00F22F32">
              <w:rPr>
                <w:rFonts w:ascii="Calibri" w:eastAsia="Times New Roman" w:hAnsi="Calibri" w:cs="Calibri"/>
                <w:sz w:val="18"/>
                <w:szCs w:val="18"/>
              </w:rPr>
              <w:t>Communication, Advocacy &amp; Partnerships</w:t>
            </w:r>
          </w:p>
        </w:tc>
        <w:tc>
          <w:tcPr>
            <w:tcW w:w="3161" w:type="dxa"/>
            <w:tcBorders>
              <w:top w:val="nil"/>
              <w:left w:val="nil"/>
              <w:bottom w:val="single" w:sz="4" w:space="0" w:color="auto"/>
              <w:right w:val="single" w:sz="4" w:space="0" w:color="auto"/>
            </w:tcBorders>
            <w:shd w:val="clear" w:color="auto" w:fill="auto"/>
            <w:vAlign w:val="center"/>
            <w:hideMark/>
          </w:tcPr>
          <w:p w14:paraId="67740303" w14:textId="77777777" w:rsidR="007626F3" w:rsidRPr="00F22F32" w:rsidRDefault="007626F3" w:rsidP="006171FD">
            <w:pPr>
              <w:rPr>
                <w:rFonts w:ascii="Calibri" w:eastAsia="Times New Roman" w:hAnsi="Calibri" w:cs="Calibri"/>
                <w:sz w:val="18"/>
                <w:szCs w:val="18"/>
              </w:rPr>
            </w:pPr>
            <w:r w:rsidRPr="00F22F32">
              <w:rPr>
                <w:rFonts w:ascii="Calibri" w:eastAsia="Times New Roman" w:hAnsi="Calibri" w:cs="Calibri"/>
                <w:sz w:val="18"/>
                <w:szCs w:val="18"/>
              </w:rPr>
              <w:t>Spotlight Initiative to end violence against children and women</w:t>
            </w:r>
          </w:p>
        </w:tc>
        <w:tc>
          <w:tcPr>
            <w:tcW w:w="1170" w:type="dxa"/>
            <w:tcBorders>
              <w:top w:val="nil"/>
              <w:left w:val="nil"/>
              <w:bottom w:val="single" w:sz="4" w:space="0" w:color="auto"/>
              <w:right w:val="single" w:sz="4" w:space="0" w:color="auto"/>
            </w:tcBorders>
            <w:shd w:val="clear" w:color="auto" w:fill="auto"/>
            <w:noWrap/>
            <w:vAlign w:val="center"/>
            <w:hideMark/>
          </w:tcPr>
          <w:p w14:paraId="68A478E8" w14:textId="77777777" w:rsidR="007626F3" w:rsidRPr="00F22F32" w:rsidRDefault="007626F3" w:rsidP="006171FD">
            <w:pPr>
              <w:rPr>
                <w:rFonts w:ascii="Calibri" w:eastAsia="Times New Roman" w:hAnsi="Calibri" w:cs="Calibri"/>
                <w:sz w:val="18"/>
                <w:szCs w:val="18"/>
              </w:rPr>
            </w:pPr>
            <w:r w:rsidRPr="00F22F32">
              <w:rPr>
                <w:rFonts w:ascii="Calibri" w:eastAsia="Times New Roman" w:hAnsi="Calibri" w:cs="Calibri"/>
                <w:sz w:val="18"/>
                <w:szCs w:val="18"/>
              </w:rPr>
              <w:t>UNRCO</w:t>
            </w:r>
          </w:p>
        </w:tc>
        <w:tc>
          <w:tcPr>
            <w:tcW w:w="1170" w:type="dxa"/>
            <w:tcBorders>
              <w:top w:val="nil"/>
              <w:left w:val="nil"/>
              <w:bottom w:val="single" w:sz="4" w:space="0" w:color="auto"/>
              <w:right w:val="single" w:sz="4" w:space="0" w:color="auto"/>
            </w:tcBorders>
            <w:shd w:val="clear" w:color="auto" w:fill="auto"/>
            <w:vAlign w:val="center"/>
            <w:hideMark/>
          </w:tcPr>
          <w:p w14:paraId="08BF4EED" w14:textId="77777777" w:rsidR="007626F3" w:rsidRPr="00F22F32" w:rsidRDefault="007626F3" w:rsidP="006171FD">
            <w:pPr>
              <w:rPr>
                <w:rFonts w:ascii="Calibri" w:eastAsia="Times New Roman" w:hAnsi="Calibri" w:cs="Calibri"/>
                <w:sz w:val="18"/>
                <w:szCs w:val="18"/>
              </w:rPr>
            </w:pPr>
            <w:r w:rsidRPr="00F22F32">
              <w:rPr>
                <w:rFonts w:ascii="Calibri" w:eastAsia="Times New Roman" w:hAnsi="Calibri" w:cs="Calibri"/>
                <w:sz w:val="18"/>
                <w:szCs w:val="18"/>
              </w:rPr>
              <w:t>UNICEF, UNFPA, UNDP, UN Women</w:t>
            </w:r>
          </w:p>
        </w:tc>
        <w:tc>
          <w:tcPr>
            <w:tcW w:w="4140" w:type="dxa"/>
            <w:tcBorders>
              <w:top w:val="nil"/>
              <w:left w:val="nil"/>
              <w:bottom w:val="single" w:sz="4" w:space="0" w:color="auto"/>
              <w:right w:val="single" w:sz="4" w:space="0" w:color="auto"/>
            </w:tcBorders>
            <w:shd w:val="clear" w:color="auto" w:fill="auto"/>
            <w:vAlign w:val="center"/>
            <w:hideMark/>
          </w:tcPr>
          <w:p w14:paraId="2E438A21" w14:textId="77777777" w:rsidR="007626F3" w:rsidRPr="00F22F32" w:rsidRDefault="007626F3" w:rsidP="006171FD">
            <w:pPr>
              <w:rPr>
                <w:rFonts w:ascii="Calibri" w:eastAsia="Times New Roman" w:hAnsi="Calibri" w:cs="Calibri"/>
                <w:sz w:val="18"/>
                <w:szCs w:val="18"/>
              </w:rPr>
            </w:pPr>
            <w:r w:rsidRPr="00F22F32">
              <w:rPr>
                <w:rFonts w:ascii="Calibri" w:eastAsia="Times New Roman" w:hAnsi="Calibri" w:cs="Calibri"/>
                <w:sz w:val="18"/>
                <w:szCs w:val="18"/>
              </w:rPr>
              <w:t xml:space="preserve"> Ministry of Gender, Children and Social Action</w:t>
            </w:r>
          </w:p>
        </w:tc>
        <w:tc>
          <w:tcPr>
            <w:tcW w:w="2168" w:type="dxa"/>
            <w:tcBorders>
              <w:top w:val="nil"/>
              <w:left w:val="nil"/>
              <w:bottom w:val="single" w:sz="4" w:space="0" w:color="auto"/>
              <w:right w:val="single" w:sz="4" w:space="0" w:color="auto"/>
            </w:tcBorders>
            <w:shd w:val="clear" w:color="auto" w:fill="auto"/>
            <w:noWrap/>
            <w:vAlign w:val="center"/>
            <w:hideMark/>
          </w:tcPr>
          <w:p w14:paraId="7016D805" w14:textId="77777777" w:rsidR="007626F3" w:rsidRPr="00F22F32" w:rsidRDefault="007626F3" w:rsidP="006171FD">
            <w:pPr>
              <w:rPr>
                <w:rFonts w:ascii="Calibri" w:eastAsia="Times New Roman" w:hAnsi="Calibri" w:cs="Calibri"/>
                <w:sz w:val="18"/>
                <w:szCs w:val="18"/>
              </w:rPr>
            </w:pPr>
            <w:r w:rsidRPr="00F22F32">
              <w:rPr>
                <w:rFonts w:ascii="Calibri" w:eastAsia="Times New Roman" w:hAnsi="Calibri" w:cs="Calibri"/>
                <w:sz w:val="18"/>
                <w:szCs w:val="18"/>
              </w:rPr>
              <w:t xml:space="preserve">$3,812,322 </w:t>
            </w:r>
          </w:p>
        </w:tc>
      </w:tr>
      <w:tr w:rsidR="00F22F32" w:rsidRPr="00F22F32" w14:paraId="6C6FA1EA" w14:textId="77777777" w:rsidTr="006D150A">
        <w:trPr>
          <w:trHeight w:val="620"/>
        </w:trPr>
        <w:tc>
          <w:tcPr>
            <w:tcW w:w="1514" w:type="dxa"/>
            <w:tcBorders>
              <w:top w:val="nil"/>
              <w:left w:val="single" w:sz="4" w:space="0" w:color="auto"/>
              <w:bottom w:val="single" w:sz="4" w:space="0" w:color="auto"/>
              <w:right w:val="single" w:sz="4" w:space="0" w:color="auto"/>
            </w:tcBorders>
            <w:shd w:val="clear" w:color="auto" w:fill="auto"/>
            <w:vAlign w:val="center"/>
            <w:hideMark/>
          </w:tcPr>
          <w:p w14:paraId="008C6E39"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Programme/Fund Profile and Partners</w:t>
            </w:r>
          </w:p>
        </w:tc>
        <w:tc>
          <w:tcPr>
            <w:tcW w:w="3161" w:type="dxa"/>
            <w:tcBorders>
              <w:top w:val="nil"/>
              <w:left w:val="nil"/>
              <w:bottom w:val="single" w:sz="4" w:space="0" w:color="auto"/>
              <w:right w:val="single" w:sz="4" w:space="0" w:color="auto"/>
            </w:tcBorders>
            <w:shd w:val="clear" w:color="auto" w:fill="auto"/>
            <w:vAlign w:val="center"/>
            <w:hideMark/>
          </w:tcPr>
          <w:p w14:paraId="266D359C"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The Accelerate Progress Towards Millennium Development Goal 1C (MDG1.C Programme)</w:t>
            </w:r>
          </w:p>
        </w:tc>
        <w:tc>
          <w:tcPr>
            <w:tcW w:w="1170" w:type="dxa"/>
            <w:tcBorders>
              <w:top w:val="nil"/>
              <w:left w:val="nil"/>
              <w:bottom w:val="single" w:sz="4" w:space="0" w:color="auto"/>
              <w:right w:val="single" w:sz="4" w:space="0" w:color="auto"/>
            </w:tcBorders>
            <w:shd w:val="clear" w:color="auto" w:fill="auto"/>
            <w:noWrap/>
            <w:vAlign w:val="center"/>
            <w:hideMark/>
          </w:tcPr>
          <w:p w14:paraId="46AE5E4A"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FAO, IFAD, WFP</w:t>
            </w:r>
          </w:p>
        </w:tc>
        <w:tc>
          <w:tcPr>
            <w:tcW w:w="1170" w:type="dxa"/>
            <w:tcBorders>
              <w:top w:val="nil"/>
              <w:left w:val="nil"/>
              <w:bottom w:val="single" w:sz="4" w:space="0" w:color="auto"/>
              <w:right w:val="single" w:sz="4" w:space="0" w:color="auto"/>
            </w:tcBorders>
            <w:shd w:val="clear" w:color="auto" w:fill="auto"/>
            <w:vAlign w:val="center"/>
            <w:hideMark/>
          </w:tcPr>
          <w:p w14:paraId="2A642034"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FAO, IFAD, WFP</w:t>
            </w:r>
          </w:p>
        </w:tc>
        <w:tc>
          <w:tcPr>
            <w:tcW w:w="4140" w:type="dxa"/>
            <w:tcBorders>
              <w:top w:val="nil"/>
              <w:left w:val="nil"/>
              <w:bottom w:val="single" w:sz="4" w:space="0" w:color="auto"/>
              <w:right w:val="single" w:sz="4" w:space="0" w:color="auto"/>
            </w:tcBorders>
            <w:shd w:val="clear" w:color="auto" w:fill="auto"/>
            <w:vAlign w:val="center"/>
            <w:hideMark/>
          </w:tcPr>
          <w:p w14:paraId="5E34287B"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Technical Secretariat for Food and Nutrition Security</w:t>
            </w:r>
          </w:p>
        </w:tc>
        <w:tc>
          <w:tcPr>
            <w:tcW w:w="2168" w:type="dxa"/>
            <w:tcBorders>
              <w:top w:val="nil"/>
              <w:left w:val="nil"/>
              <w:bottom w:val="single" w:sz="4" w:space="0" w:color="auto"/>
              <w:right w:val="single" w:sz="4" w:space="0" w:color="auto"/>
            </w:tcBorders>
            <w:shd w:val="clear" w:color="auto" w:fill="auto"/>
            <w:noWrap/>
            <w:vAlign w:val="center"/>
            <w:hideMark/>
          </w:tcPr>
          <w:p w14:paraId="1201DC5D"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 </w:t>
            </w:r>
          </w:p>
        </w:tc>
      </w:tr>
      <w:tr w:rsidR="00F22F32" w:rsidRPr="00F22F32" w14:paraId="53720FBC" w14:textId="77777777" w:rsidTr="006D150A">
        <w:trPr>
          <w:trHeight w:val="620"/>
        </w:trPr>
        <w:tc>
          <w:tcPr>
            <w:tcW w:w="1514" w:type="dxa"/>
            <w:tcBorders>
              <w:top w:val="nil"/>
              <w:left w:val="single" w:sz="4" w:space="0" w:color="auto"/>
              <w:bottom w:val="single" w:sz="4" w:space="0" w:color="auto"/>
              <w:right w:val="single" w:sz="4" w:space="0" w:color="auto"/>
            </w:tcBorders>
            <w:shd w:val="clear" w:color="auto" w:fill="auto"/>
            <w:vAlign w:val="center"/>
            <w:hideMark/>
          </w:tcPr>
          <w:p w14:paraId="11A38ED0"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Programme/Fund Profile and Partners</w:t>
            </w:r>
          </w:p>
        </w:tc>
        <w:tc>
          <w:tcPr>
            <w:tcW w:w="3161" w:type="dxa"/>
            <w:tcBorders>
              <w:top w:val="nil"/>
              <w:left w:val="nil"/>
              <w:bottom w:val="single" w:sz="4" w:space="0" w:color="auto"/>
              <w:right w:val="single" w:sz="4" w:space="0" w:color="auto"/>
            </w:tcBorders>
            <w:shd w:val="clear" w:color="auto" w:fill="auto"/>
            <w:vAlign w:val="center"/>
            <w:hideMark/>
          </w:tcPr>
          <w:p w14:paraId="4AAA7E54"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The Livelihoods for Durable Solutions Project</w:t>
            </w:r>
          </w:p>
        </w:tc>
        <w:tc>
          <w:tcPr>
            <w:tcW w:w="1170" w:type="dxa"/>
            <w:tcBorders>
              <w:top w:val="nil"/>
              <w:left w:val="nil"/>
              <w:bottom w:val="single" w:sz="4" w:space="0" w:color="auto"/>
              <w:right w:val="single" w:sz="4" w:space="0" w:color="auto"/>
            </w:tcBorders>
            <w:shd w:val="clear" w:color="auto" w:fill="auto"/>
            <w:noWrap/>
            <w:vAlign w:val="center"/>
            <w:hideMark/>
          </w:tcPr>
          <w:p w14:paraId="09BD4246"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WFP</w:t>
            </w:r>
          </w:p>
        </w:tc>
        <w:tc>
          <w:tcPr>
            <w:tcW w:w="1170" w:type="dxa"/>
            <w:tcBorders>
              <w:top w:val="nil"/>
              <w:left w:val="nil"/>
              <w:bottom w:val="single" w:sz="4" w:space="0" w:color="auto"/>
              <w:right w:val="single" w:sz="4" w:space="0" w:color="auto"/>
            </w:tcBorders>
            <w:shd w:val="clear" w:color="auto" w:fill="auto"/>
            <w:vAlign w:val="center"/>
            <w:hideMark/>
          </w:tcPr>
          <w:p w14:paraId="3CA41E2B" w14:textId="77777777" w:rsidR="007626F3" w:rsidRPr="00F22F32" w:rsidRDefault="007626F3" w:rsidP="006D150A">
            <w:pPr>
              <w:rPr>
                <w:rFonts w:ascii="Calibri" w:eastAsia="Times New Roman" w:hAnsi="Calibri" w:cs="Calibri"/>
                <w:sz w:val="18"/>
                <w:szCs w:val="18"/>
                <w:lang w:val="es-US"/>
              </w:rPr>
            </w:pPr>
            <w:r w:rsidRPr="00F22F32">
              <w:rPr>
                <w:rFonts w:ascii="Calibri" w:eastAsia="Times New Roman" w:hAnsi="Calibri" w:cs="Calibri"/>
                <w:sz w:val="18"/>
                <w:szCs w:val="18"/>
                <w:lang w:val="es-US"/>
              </w:rPr>
              <w:t>WFP, UNHCR, FAO, UN-Habitat</w:t>
            </w:r>
          </w:p>
        </w:tc>
        <w:tc>
          <w:tcPr>
            <w:tcW w:w="4140" w:type="dxa"/>
            <w:tcBorders>
              <w:top w:val="nil"/>
              <w:left w:val="nil"/>
              <w:bottom w:val="single" w:sz="4" w:space="0" w:color="auto"/>
              <w:right w:val="single" w:sz="4" w:space="0" w:color="auto"/>
            </w:tcBorders>
            <w:shd w:val="clear" w:color="auto" w:fill="auto"/>
            <w:vAlign w:val="center"/>
            <w:hideMark/>
          </w:tcPr>
          <w:p w14:paraId="7F262DEF"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Mozambique’s National Refugee Support Institute</w:t>
            </w:r>
          </w:p>
        </w:tc>
        <w:tc>
          <w:tcPr>
            <w:tcW w:w="2168" w:type="dxa"/>
            <w:tcBorders>
              <w:top w:val="nil"/>
              <w:left w:val="nil"/>
              <w:bottom w:val="single" w:sz="4" w:space="0" w:color="auto"/>
              <w:right w:val="single" w:sz="4" w:space="0" w:color="auto"/>
            </w:tcBorders>
            <w:shd w:val="clear" w:color="auto" w:fill="auto"/>
            <w:noWrap/>
            <w:vAlign w:val="center"/>
            <w:hideMark/>
          </w:tcPr>
          <w:p w14:paraId="76BD339D"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 xml:space="preserve">$4,459,441 </w:t>
            </w:r>
          </w:p>
        </w:tc>
      </w:tr>
      <w:tr w:rsidR="00F22F32" w:rsidRPr="00F22F32" w14:paraId="23CABE3B" w14:textId="77777777" w:rsidTr="006D150A">
        <w:trPr>
          <w:trHeight w:val="620"/>
        </w:trPr>
        <w:tc>
          <w:tcPr>
            <w:tcW w:w="1514" w:type="dxa"/>
            <w:tcBorders>
              <w:top w:val="nil"/>
              <w:left w:val="single" w:sz="4" w:space="0" w:color="auto"/>
              <w:bottom w:val="single" w:sz="4" w:space="0" w:color="auto"/>
              <w:right w:val="single" w:sz="4" w:space="0" w:color="auto"/>
            </w:tcBorders>
            <w:shd w:val="clear" w:color="auto" w:fill="auto"/>
            <w:vAlign w:val="center"/>
            <w:hideMark/>
          </w:tcPr>
          <w:p w14:paraId="59D28952"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Programme/Fund Profile and Partners</w:t>
            </w:r>
          </w:p>
        </w:tc>
        <w:tc>
          <w:tcPr>
            <w:tcW w:w="3161" w:type="dxa"/>
            <w:tcBorders>
              <w:top w:val="nil"/>
              <w:left w:val="nil"/>
              <w:bottom w:val="single" w:sz="4" w:space="0" w:color="auto"/>
              <w:right w:val="single" w:sz="4" w:space="0" w:color="auto"/>
            </w:tcBorders>
            <w:shd w:val="clear" w:color="auto" w:fill="auto"/>
            <w:vAlign w:val="center"/>
            <w:hideMark/>
          </w:tcPr>
          <w:p w14:paraId="7CEAE973"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COVID-19 Response</w:t>
            </w:r>
          </w:p>
        </w:tc>
        <w:tc>
          <w:tcPr>
            <w:tcW w:w="1170" w:type="dxa"/>
            <w:tcBorders>
              <w:top w:val="nil"/>
              <w:left w:val="nil"/>
              <w:bottom w:val="single" w:sz="4" w:space="0" w:color="auto"/>
              <w:right w:val="single" w:sz="4" w:space="0" w:color="auto"/>
            </w:tcBorders>
            <w:shd w:val="clear" w:color="auto" w:fill="auto"/>
            <w:noWrap/>
            <w:vAlign w:val="center"/>
            <w:hideMark/>
          </w:tcPr>
          <w:p w14:paraId="5B0AD8BC"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WFP, UNICEF</w:t>
            </w:r>
          </w:p>
        </w:tc>
        <w:tc>
          <w:tcPr>
            <w:tcW w:w="1170" w:type="dxa"/>
            <w:tcBorders>
              <w:top w:val="nil"/>
              <w:left w:val="nil"/>
              <w:bottom w:val="single" w:sz="4" w:space="0" w:color="auto"/>
              <w:right w:val="single" w:sz="4" w:space="0" w:color="auto"/>
            </w:tcBorders>
            <w:shd w:val="clear" w:color="auto" w:fill="auto"/>
            <w:vAlign w:val="center"/>
            <w:hideMark/>
          </w:tcPr>
          <w:p w14:paraId="4A299D28"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WFP, UNICEF</w:t>
            </w:r>
          </w:p>
        </w:tc>
        <w:tc>
          <w:tcPr>
            <w:tcW w:w="4140" w:type="dxa"/>
            <w:tcBorders>
              <w:top w:val="nil"/>
              <w:left w:val="nil"/>
              <w:bottom w:val="single" w:sz="4" w:space="0" w:color="auto"/>
              <w:right w:val="single" w:sz="4" w:space="0" w:color="auto"/>
            </w:tcBorders>
            <w:shd w:val="clear" w:color="auto" w:fill="auto"/>
            <w:vAlign w:val="center"/>
            <w:hideMark/>
          </w:tcPr>
          <w:p w14:paraId="397EE0D9"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Ministry of Gender, Children and Social Action, National Institute of Social Action, Ministry of Finance, World Bank.</w:t>
            </w:r>
          </w:p>
        </w:tc>
        <w:tc>
          <w:tcPr>
            <w:tcW w:w="2168" w:type="dxa"/>
            <w:tcBorders>
              <w:top w:val="nil"/>
              <w:left w:val="nil"/>
              <w:bottom w:val="single" w:sz="4" w:space="0" w:color="auto"/>
              <w:right w:val="single" w:sz="4" w:space="0" w:color="auto"/>
            </w:tcBorders>
            <w:shd w:val="clear" w:color="auto" w:fill="auto"/>
            <w:noWrap/>
            <w:vAlign w:val="center"/>
            <w:hideMark/>
          </w:tcPr>
          <w:p w14:paraId="5384AC17"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 xml:space="preserve">$22,000,000 </w:t>
            </w:r>
          </w:p>
        </w:tc>
      </w:tr>
      <w:tr w:rsidR="00F22F32" w:rsidRPr="00F22F32" w14:paraId="793530BB" w14:textId="77777777" w:rsidTr="006D150A">
        <w:trPr>
          <w:trHeight w:val="880"/>
        </w:trPr>
        <w:tc>
          <w:tcPr>
            <w:tcW w:w="1514" w:type="dxa"/>
            <w:tcBorders>
              <w:top w:val="nil"/>
              <w:left w:val="single" w:sz="4" w:space="0" w:color="auto"/>
              <w:bottom w:val="single" w:sz="4" w:space="0" w:color="auto"/>
              <w:right w:val="single" w:sz="4" w:space="0" w:color="auto"/>
            </w:tcBorders>
            <w:shd w:val="clear" w:color="auto" w:fill="auto"/>
            <w:vAlign w:val="center"/>
            <w:hideMark/>
          </w:tcPr>
          <w:p w14:paraId="33F0A90A"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Programme/Fund Profile and Partners</w:t>
            </w:r>
          </w:p>
        </w:tc>
        <w:tc>
          <w:tcPr>
            <w:tcW w:w="3161" w:type="dxa"/>
            <w:tcBorders>
              <w:top w:val="nil"/>
              <w:left w:val="nil"/>
              <w:bottom w:val="single" w:sz="4" w:space="0" w:color="auto"/>
              <w:right w:val="single" w:sz="4" w:space="0" w:color="auto"/>
            </w:tcBorders>
            <w:shd w:val="clear" w:color="auto" w:fill="auto"/>
            <w:vAlign w:val="center"/>
            <w:hideMark/>
          </w:tcPr>
          <w:p w14:paraId="3291A2AD"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Mitigating and preventing violence in and around hard-to-reach areas through participatory analysis, trust-building and social cohesion in the border region of Cabo Delgado (Mozambique) and Mtwara (Tanzania)</w:t>
            </w:r>
          </w:p>
        </w:tc>
        <w:tc>
          <w:tcPr>
            <w:tcW w:w="1170" w:type="dxa"/>
            <w:tcBorders>
              <w:top w:val="nil"/>
              <w:left w:val="nil"/>
              <w:bottom w:val="single" w:sz="4" w:space="0" w:color="auto"/>
              <w:right w:val="single" w:sz="4" w:space="0" w:color="auto"/>
            </w:tcBorders>
            <w:shd w:val="clear" w:color="auto" w:fill="auto"/>
            <w:noWrap/>
            <w:vAlign w:val="center"/>
            <w:hideMark/>
          </w:tcPr>
          <w:p w14:paraId="181A899D"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UNDP</w:t>
            </w:r>
          </w:p>
        </w:tc>
        <w:tc>
          <w:tcPr>
            <w:tcW w:w="1170" w:type="dxa"/>
            <w:tcBorders>
              <w:top w:val="nil"/>
              <w:left w:val="nil"/>
              <w:bottom w:val="single" w:sz="4" w:space="0" w:color="auto"/>
              <w:right w:val="single" w:sz="4" w:space="0" w:color="auto"/>
            </w:tcBorders>
            <w:shd w:val="clear" w:color="auto" w:fill="auto"/>
            <w:vAlign w:val="center"/>
            <w:hideMark/>
          </w:tcPr>
          <w:p w14:paraId="4D1DF971"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WFP, IOM, UNDP</w:t>
            </w:r>
          </w:p>
        </w:tc>
        <w:tc>
          <w:tcPr>
            <w:tcW w:w="4140" w:type="dxa"/>
            <w:tcBorders>
              <w:top w:val="nil"/>
              <w:left w:val="nil"/>
              <w:bottom w:val="single" w:sz="4" w:space="0" w:color="auto"/>
              <w:right w:val="single" w:sz="4" w:space="0" w:color="auto"/>
            </w:tcBorders>
            <w:shd w:val="clear" w:color="auto" w:fill="auto"/>
            <w:vAlign w:val="center"/>
            <w:hideMark/>
          </w:tcPr>
          <w:p w14:paraId="11F740BD"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Ministry of Foreign Affairs and Cooperation</w:t>
            </w:r>
            <w:r w:rsidRPr="00F22F32">
              <w:rPr>
                <w:rFonts w:ascii="Calibri" w:eastAsia="Times New Roman" w:hAnsi="Calibri" w:cs="Calibri"/>
                <w:sz w:val="18"/>
                <w:szCs w:val="18"/>
              </w:rPr>
              <w:br w:type="page"/>
              <w:t>Ministry of Land and Environment</w:t>
            </w:r>
            <w:r w:rsidRPr="00F22F32">
              <w:rPr>
                <w:rFonts w:ascii="Calibri" w:eastAsia="Times New Roman" w:hAnsi="Calibri" w:cs="Calibri"/>
                <w:sz w:val="18"/>
                <w:szCs w:val="18"/>
              </w:rPr>
              <w:br w:type="page"/>
              <w:t>Ministry of Interior</w:t>
            </w:r>
            <w:r w:rsidRPr="00F22F32">
              <w:rPr>
                <w:rFonts w:ascii="Calibri" w:eastAsia="Times New Roman" w:hAnsi="Calibri" w:cs="Calibri"/>
                <w:sz w:val="18"/>
                <w:szCs w:val="18"/>
              </w:rPr>
              <w:br w:type="page"/>
              <w:t>Ministry of State Administration and Public Function</w:t>
            </w:r>
            <w:r w:rsidRPr="00F22F32">
              <w:rPr>
                <w:rFonts w:ascii="Calibri" w:eastAsia="Times New Roman" w:hAnsi="Calibri" w:cs="Calibri"/>
                <w:sz w:val="18"/>
                <w:szCs w:val="18"/>
              </w:rPr>
              <w:br w:type="page"/>
              <w:t>Agency for Northern Integrated Development</w:t>
            </w:r>
            <w:r w:rsidRPr="00F22F32">
              <w:rPr>
                <w:rFonts w:ascii="Calibri" w:eastAsia="Times New Roman" w:hAnsi="Calibri" w:cs="Calibri"/>
                <w:sz w:val="18"/>
                <w:szCs w:val="18"/>
              </w:rPr>
              <w:br w:type="page"/>
            </w:r>
          </w:p>
        </w:tc>
        <w:tc>
          <w:tcPr>
            <w:tcW w:w="2168" w:type="dxa"/>
            <w:tcBorders>
              <w:top w:val="nil"/>
              <w:left w:val="nil"/>
              <w:bottom w:val="single" w:sz="4" w:space="0" w:color="auto"/>
              <w:right w:val="single" w:sz="4" w:space="0" w:color="auto"/>
            </w:tcBorders>
            <w:shd w:val="clear" w:color="auto" w:fill="auto"/>
            <w:vAlign w:val="center"/>
            <w:hideMark/>
          </w:tcPr>
          <w:p w14:paraId="557B6096"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4,306,124 (3,020,000 funded by PEB)</w:t>
            </w:r>
          </w:p>
        </w:tc>
      </w:tr>
      <w:tr w:rsidR="00F22F32" w:rsidRPr="00F22F32" w14:paraId="7BCFCCE1" w14:textId="77777777" w:rsidTr="006D150A">
        <w:trPr>
          <w:trHeight w:val="620"/>
        </w:trPr>
        <w:tc>
          <w:tcPr>
            <w:tcW w:w="1514" w:type="dxa"/>
            <w:tcBorders>
              <w:top w:val="nil"/>
              <w:left w:val="single" w:sz="4" w:space="0" w:color="auto"/>
              <w:bottom w:val="single" w:sz="4" w:space="0" w:color="auto"/>
              <w:right w:val="single" w:sz="4" w:space="0" w:color="auto"/>
            </w:tcBorders>
            <w:shd w:val="clear" w:color="auto" w:fill="auto"/>
            <w:vAlign w:val="center"/>
            <w:hideMark/>
          </w:tcPr>
          <w:p w14:paraId="089B78C3"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Health &amp; Nutrition</w:t>
            </w:r>
          </w:p>
        </w:tc>
        <w:tc>
          <w:tcPr>
            <w:tcW w:w="3161" w:type="dxa"/>
            <w:tcBorders>
              <w:top w:val="nil"/>
              <w:left w:val="nil"/>
              <w:bottom w:val="single" w:sz="4" w:space="0" w:color="auto"/>
              <w:right w:val="single" w:sz="4" w:space="0" w:color="auto"/>
            </w:tcBorders>
            <w:shd w:val="clear" w:color="auto" w:fill="auto"/>
            <w:vAlign w:val="center"/>
            <w:hideMark/>
          </w:tcPr>
          <w:p w14:paraId="4F748A02"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HIV-TB Emergency Response to Tropical Cyclone Idai</w:t>
            </w:r>
          </w:p>
        </w:tc>
        <w:tc>
          <w:tcPr>
            <w:tcW w:w="1170" w:type="dxa"/>
            <w:tcBorders>
              <w:top w:val="nil"/>
              <w:left w:val="nil"/>
              <w:bottom w:val="single" w:sz="4" w:space="0" w:color="auto"/>
              <w:right w:val="single" w:sz="4" w:space="0" w:color="auto"/>
            </w:tcBorders>
            <w:shd w:val="clear" w:color="auto" w:fill="auto"/>
            <w:noWrap/>
            <w:vAlign w:val="center"/>
            <w:hideMark/>
          </w:tcPr>
          <w:p w14:paraId="44DF5F45"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UNAIDS</w:t>
            </w:r>
          </w:p>
        </w:tc>
        <w:tc>
          <w:tcPr>
            <w:tcW w:w="1170" w:type="dxa"/>
            <w:tcBorders>
              <w:top w:val="nil"/>
              <w:left w:val="nil"/>
              <w:bottom w:val="single" w:sz="4" w:space="0" w:color="auto"/>
              <w:right w:val="single" w:sz="4" w:space="0" w:color="auto"/>
            </w:tcBorders>
            <w:shd w:val="clear" w:color="auto" w:fill="auto"/>
            <w:vAlign w:val="center"/>
            <w:hideMark/>
          </w:tcPr>
          <w:p w14:paraId="4856AD29"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WFP, IOM, UNICEF, WHO</w:t>
            </w:r>
          </w:p>
        </w:tc>
        <w:tc>
          <w:tcPr>
            <w:tcW w:w="4140" w:type="dxa"/>
            <w:tcBorders>
              <w:top w:val="nil"/>
              <w:left w:val="nil"/>
              <w:bottom w:val="single" w:sz="4" w:space="0" w:color="auto"/>
              <w:right w:val="single" w:sz="4" w:space="0" w:color="auto"/>
            </w:tcBorders>
            <w:shd w:val="clear" w:color="auto" w:fill="auto"/>
            <w:vAlign w:val="center"/>
            <w:hideMark/>
          </w:tcPr>
          <w:p w14:paraId="403DE898"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H2N</w:t>
            </w:r>
          </w:p>
        </w:tc>
        <w:tc>
          <w:tcPr>
            <w:tcW w:w="2168" w:type="dxa"/>
            <w:tcBorders>
              <w:top w:val="nil"/>
              <w:left w:val="nil"/>
              <w:bottom w:val="single" w:sz="4" w:space="0" w:color="auto"/>
              <w:right w:val="single" w:sz="4" w:space="0" w:color="auto"/>
            </w:tcBorders>
            <w:shd w:val="clear" w:color="auto" w:fill="auto"/>
            <w:noWrap/>
            <w:vAlign w:val="center"/>
            <w:hideMark/>
          </w:tcPr>
          <w:p w14:paraId="2210DBDF"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 </w:t>
            </w:r>
          </w:p>
        </w:tc>
      </w:tr>
      <w:tr w:rsidR="00F22F32" w:rsidRPr="00F22F32" w14:paraId="05B21CB8" w14:textId="77777777" w:rsidTr="006D150A">
        <w:trPr>
          <w:trHeight w:val="620"/>
        </w:trPr>
        <w:tc>
          <w:tcPr>
            <w:tcW w:w="1514" w:type="dxa"/>
            <w:tcBorders>
              <w:top w:val="nil"/>
              <w:left w:val="single" w:sz="4" w:space="0" w:color="auto"/>
              <w:bottom w:val="single" w:sz="4" w:space="0" w:color="auto"/>
              <w:right w:val="single" w:sz="4" w:space="0" w:color="auto"/>
            </w:tcBorders>
            <w:shd w:val="clear" w:color="auto" w:fill="auto"/>
            <w:vAlign w:val="center"/>
            <w:hideMark/>
          </w:tcPr>
          <w:p w14:paraId="6DF3CFE4"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Health &amp; Nutrition</w:t>
            </w:r>
          </w:p>
        </w:tc>
        <w:tc>
          <w:tcPr>
            <w:tcW w:w="3161" w:type="dxa"/>
            <w:tcBorders>
              <w:top w:val="nil"/>
              <w:left w:val="nil"/>
              <w:bottom w:val="single" w:sz="4" w:space="0" w:color="auto"/>
              <w:right w:val="single" w:sz="4" w:space="0" w:color="auto"/>
            </w:tcBorders>
            <w:shd w:val="clear" w:color="auto" w:fill="auto"/>
            <w:vAlign w:val="center"/>
            <w:hideMark/>
          </w:tcPr>
          <w:p w14:paraId="3D7B5D48"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 xml:space="preserve">Enhancing the HIV Response within the Response to Tropical Cyclone Kenneth, Including the Provision of Nutritional Support, Dignified Return and Shelter to HIV/Vulnerable Populations, Cabo Delgado </w:t>
            </w:r>
          </w:p>
        </w:tc>
        <w:tc>
          <w:tcPr>
            <w:tcW w:w="1170" w:type="dxa"/>
            <w:tcBorders>
              <w:top w:val="nil"/>
              <w:left w:val="nil"/>
              <w:bottom w:val="single" w:sz="4" w:space="0" w:color="auto"/>
              <w:right w:val="single" w:sz="4" w:space="0" w:color="auto"/>
            </w:tcBorders>
            <w:shd w:val="clear" w:color="auto" w:fill="auto"/>
            <w:noWrap/>
            <w:vAlign w:val="center"/>
            <w:hideMark/>
          </w:tcPr>
          <w:p w14:paraId="40B66BF2"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UNAIDS</w:t>
            </w:r>
          </w:p>
        </w:tc>
        <w:tc>
          <w:tcPr>
            <w:tcW w:w="1170" w:type="dxa"/>
            <w:tcBorders>
              <w:top w:val="nil"/>
              <w:left w:val="nil"/>
              <w:bottom w:val="single" w:sz="4" w:space="0" w:color="auto"/>
              <w:right w:val="single" w:sz="4" w:space="0" w:color="auto"/>
            </w:tcBorders>
            <w:shd w:val="clear" w:color="auto" w:fill="auto"/>
            <w:vAlign w:val="center"/>
            <w:hideMark/>
          </w:tcPr>
          <w:p w14:paraId="3158061F"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WFP</w:t>
            </w:r>
          </w:p>
        </w:tc>
        <w:tc>
          <w:tcPr>
            <w:tcW w:w="4140" w:type="dxa"/>
            <w:tcBorders>
              <w:top w:val="nil"/>
              <w:left w:val="nil"/>
              <w:bottom w:val="single" w:sz="4" w:space="0" w:color="auto"/>
              <w:right w:val="single" w:sz="4" w:space="0" w:color="auto"/>
            </w:tcBorders>
            <w:shd w:val="clear" w:color="auto" w:fill="auto"/>
            <w:vAlign w:val="center"/>
            <w:hideMark/>
          </w:tcPr>
          <w:p w14:paraId="18EF999F"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Pathfinder, ICS</w:t>
            </w:r>
          </w:p>
        </w:tc>
        <w:tc>
          <w:tcPr>
            <w:tcW w:w="2168" w:type="dxa"/>
            <w:tcBorders>
              <w:top w:val="nil"/>
              <w:left w:val="nil"/>
              <w:bottom w:val="single" w:sz="4" w:space="0" w:color="auto"/>
              <w:right w:val="single" w:sz="4" w:space="0" w:color="auto"/>
            </w:tcBorders>
            <w:shd w:val="clear" w:color="auto" w:fill="auto"/>
            <w:noWrap/>
            <w:vAlign w:val="center"/>
            <w:hideMark/>
          </w:tcPr>
          <w:p w14:paraId="3AE531BE"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 xml:space="preserve">$648,637 </w:t>
            </w:r>
          </w:p>
        </w:tc>
      </w:tr>
      <w:tr w:rsidR="00F22F32" w:rsidRPr="00F22F32" w14:paraId="4C4F9EC4" w14:textId="77777777" w:rsidTr="006D150A">
        <w:trPr>
          <w:trHeight w:val="620"/>
        </w:trPr>
        <w:tc>
          <w:tcPr>
            <w:tcW w:w="1514" w:type="dxa"/>
            <w:tcBorders>
              <w:top w:val="nil"/>
              <w:left w:val="single" w:sz="4" w:space="0" w:color="auto"/>
              <w:bottom w:val="single" w:sz="4" w:space="0" w:color="auto"/>
              <w:right w:val="single" w:sz="4" w:space="0" w:color="auto"/>
            </w:tcBorders>
            <w:shd w:val="clear" w:color="auto" w:fill="auto"/>
            <w:vAlign w:val="center"/>
            <w:hideMark/>
          </w:tcPr>
          <w:p w14:paraId="1D047864"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Health &amp; Nutrition</w:t>
            </w:r>
          </w:p>
        </w:tc>
        <w:tc>
          <w:tcPr>
            <w:tcW w:w="3161" w:type="dxa"/>
            <w:tcBorders>
              <w:top w:val="nil"/>
              <w:left w:val="nil"/>
              <w:bottom w:val="single" w:sz="4" w:space="0" w:color="auto"/>
              <w:right w:val="single" w:sz="4" w:space="0" w:color="auto"/>
            </w:tcBorders>
            <w:shd w:val="clear" w:color="auto" w:fill="auto"/>
            <w:vAlign w:val="center"/>
            <w:hideMark/>
          </w:tcPr>
          <w:p w14:paraId="4F8B5AFC"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 xml:space="preserve">IOM, UNICEF, WFP &amp; WHO roadside HIV/TB services for key populations, vulnerable groups, and communities in transport corridors </w:t>
            </w:r>
          </w:p>
        </w:tc>
        <w:tc>
          <w:tcPr>
            <w:tcW w:w="1170" w:type="dxa"/>
            <w:tcBorders>
              <w:top w:val="nil"/>
              <w:left w:val="nil"/>
              <w:bottom w:val="single" w:sz="4" w:space="0" w:color="auto"/>
              <w:right w:val="single" w:sz="4" w:space="0" w:color="auto"/>
            </w:tcBorders>
            <w:shd w:val="clear" w:color="auto" w:fill="auto"/>
            <w:noWrap/>
            <w:vAlign w:val="center"/>
            <w:hideMark/>
          </w:tcPr>
          <w:p w14:paraId="302E5A67"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UNAIDS</w:t>
            </w:r>
          </w:p>
        </w:tc>
        <w:tc>
          <w:tcPr>
            <w:tcW w:w="1170" w:type="dxa"/>
            <w:tcBorders>
              <w:top w:val="nil"/>
              <w:left w:val="nil"/>
              <w:bottom w:val="single" w:sz="4" w:space="0" w:color="auto"/>
              <w:right w:val="single" w:sz="4" w:space="0" w:color="auto"/>
            </w:tcBorders>
            <w:shd w:val="clear" w:color="auto" w:fill="auto"/>
            <w:vAlign w:val="center"/>
            <w:hideMark/>
          </w:tcPr>
          <w:p w14:paraId="7D4EE79F" w14:textId="6CDDD6EB"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WFP</w:t>
            </w:r>
            <w:r w:rsidR="00FB393F">
              <w:rPr>
                <w:rFonts w:ascii="Calibri" w:eastAsia="Times New Roman" w:hAnsi="Calibri" w:cs="Calibri"/>
                <w:sz w:val="18"/>
                <w:szCs w:val="18"/>
              </w:rPr>
              <w:t xml:space="preserve">, </w:t>
            </w:r>
            <w:r w:rsidR="00FB393F" w:rsidRPr="00F22F32">
              <w:rPr>
                <w:rFonts w:ascii="Calibri" w:eastAsia="Times New Roman" w:hAnsi="Calibri" w:cs="Calibri"/>
                <w:sz w:val="18"/>
                <w:szCs w:val="18"/>
              </w:rPr>
              <w:t>IOM, UNICEF</w:t>
            </w:r>
            <w:r w:rsidR="00FB393F">
              <w:rPr>
                <w:rFonts w:ascii="Calibri" w:eastAsia="Times New Roman" w:hAnsi="Calibri" w:cs="Calibri"/>
                <w:sz w:val="18"/>
                <w:szCs w:val="18"/>
              </w:rPr>
              <w:t>,</w:t>
            </w:r>
            <w:r w:rsidR="00FB393F" w:rsidRPr="00F22F32">
              <w:rPr>
                <w:rFonts w:ascii="Calibri" w:eastAsia="Times New Roman" w:hAnsi="Calibri" w:cs="Calibri"/>
                <w:sz w:val="18"/>
                <w:szCs w:val="18"/>
              </w:rPr>
              <w:t xml:space="preserve"> WHO</w:t>
            </w:r>
          </w:p>
        </w:tc>
        <w:tc>
          <w:tcPr>
            <w:tcW w:w="4140" w:type="dxa"/>
            <w:tcBorders>
              <w:top w:val="nil"/>
              <w:left w:val="nil"/>
              <w:bottom w:val="single" w:sz="4" w:space="0" w:color="auto"/>
              <w:right w:val="single" w:sz="4" w:space="0" w:color="auto"/>
            </w:tcBorders>
            <w:shd w:val="clear" w:color="auto" w:fill="auto"/>
            <w:vAlign w:val="center"/>
            <w:hideMark/>
          </w:tcPr>
          <w:p w14:paraId="5718C688"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AMEND and North Star Alliance</w:t>
            </w:r>
          </w:p>
        </w:tc>
        <w:tc>
          <w:tcPr>
            <w:tcW w:w="2168" w:type="dxa"/>
            <w:tcBorders>
              <w:top w:val="nil"/>
              <w:left w:val="nil"/>
              <w:bottom w:val="single" w:sz="4" w:space="0" w:color="auto"/>
              <w:right w:val="single" w:sz="4" w:space="0" w:color="auto"/>
            </w:tcBorders>
            <w:shd w:val="clear" w:color="auto" w:fill="auto"/>
            <w:noWrap/>
            <w:vAlign w:val="center"/>
            <w:hideMark/>
          </w:tcPr>
          <w:p w14:paraId="6C852E57"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 xml:space="preserve">$100,000 </w:t>
            </w:r>
          </w:p>
        </w:tc>
      </w:tr>
      <w:tr w:rsidR="00F22F32" w:rsidRPr="00F22F32" w14:paraId="6F54679B" w14:textId="77777777" w:rsidTr="006D150A">
        <w:trPr>
          <w:trHeight w:val="620"/>
        </w:trPr>
        <w:tc>
          <w:tcPr>
            <w:tcW w:w="1514" w:type="dxa"/>
            <w:tcBorders>
              <w:top w:val="nil"/>
              <w:left w:val="single" w:sz="4" w:space="0" w:color="auto"/>
              <w:bottom w:val="single" w:sz="4" w:space="0" w:color="auto"/>
              <w:right w:val="single" w:sz="4" w:space="0" w:color="auto"/>
            </w:tcBorders>
            <w:shd w:val="clear" w:color="auto" w:fill="auto"/>
            <w:vAlign w:val="center"/>
            <w:hideMark/>
          </w:tcPr>
          <w:p w14:paraId="258A930E"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Food Security</w:t>
            </w:r>
          </w:p>
        </w:tc>
        <w:tc>
          <w:tcPr>
            <w:tcW w:w="3161" w:type="dxa"/>
            <w:tcBorders>
              <w:top w:val="nil"/>
              <w:left w:val="nil"/>
              <w:bottom w:val="single" w:sz="4" w:space="0" w:color="auto"/>
              <w:right w:val="single" w:sz="4" w:space="0" w:color="auto"/>
            </w:tcBorders>
            <w:shd w:val="clear" w:color="auto" w:fill="auto"/>
            <w:vAlign w:val="center"/>
            <w:hideMark/>
          </w:tcPr>
          <w:p w14:paraId="50384F5C" w14:textId="3D3AF51A"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 xml:space="preserve">Enhancing Self-Reliance in a Protracted Refugee Situation (Maratane Refugee </w:t>
            </w:r>
            <w:r w:rsidR="006171FD" w:rsidRPr="00F22F32">
              <w:rPr>
                <w:rFonts w:ascii="Calibri" w:eastAsia="Times New Roman" w:hAnsi="Calibri" w:cs="Calibri"/>
                <w:sz w:val="18"/>
                <w:szCs w:val="18"/>
              </w:rPr>
              <w:t>Community</w:t>
            </w:r>
            <w:r w:rsidRPr="00F22F32">
              <w:rPr>
                <w:rFonts w:ascii="Calibri" w:eastAsia="Times New Roman" w:hAnsi="Calibri" w:cs="Calibri"/>
                <w:sz w:val="18"/>
                <w:szCs w:val="18"/>
              </w:rPr>
              <w:t>, Mozambique)</w:t>
            </w:r>
          </w:p>
        </w:tc>
        <w:tc>
          <w:tcPr>
            <w:tcW w:w="1170" w:type="dxa"/>
            <w:tcBorders>
              <w:top w:val="nil"/>
              <w:left w:val="nil"/>
              <w:bottom w:val="single" w:sz="4" w:space="0" w:color="auto"/>
              <w:right w:val="single" w:sz="4" w:space="0" w:color="auto"/>
            </w:tcBorders>
            <w:shd w:val="clear" w:color="auto" w:fill="auto"/>
            <w:noWrap/>
            <w:vAlign w:val="center"/>
            <w:hideMark/>
          </w:tcPr>
          <w:p w14:paraId="1B495D02"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WFP</w:t>
            </w:r>
          </w:p>
        </w:tc>
        <w:tc>
          <w:tcPr>
            <w:tcW w:w="1170" w:type="dxa"/>
            <w:tcBorders>
              <w:top w:val="nil"/>
              <w:left w:val="nil"/>
              <w:bottom w:val="single" w:sz="4" w:space="0" w:color="auto"/>
              <w:right w:val="single" w:sz="4" w:space="0" w:color="auto"/>
            </w:tcBorders>
            <w:shd w:val="clear" w:color="auto" w:fill="auto"/>
            <w:vAlign w:val="center"/>
            <w:hideMark/>
          </w:tcPr>
          <w:p w14:paraId="6881CE5F" w14:textId="77777777" w:rsidR="007626F3" w:rsidRPr="00F22F32" w:rsidRDefault="007626F3" w:rsidP="006D150A">
            <w:pPr>
              <w:rPr>
                <w:rFonts w:ascii="Calibri" w:eastAsia="Times New Roman" w:hAnsi="Calibri" w:cs="Calibri"/>
                <w:sz w:val="18"/>
                <w:szCs w:val="18"/>
                <w:lang w:val="es-US"/>
              </w:rPr>
            </w:pPr>
            <w:r w:rsidRPr="00F22F32">
              <w:rPr>
                <w:rFonts w:ascii="Calibri" w:eastAsia="Times New Roman" w:hAnsi="Calibri" w:cs="Calibri"/>
                <w:sz w:val="18"/>
                <w:szCs w:val="18"/>
                <w:lang w:val="es-US"/>
              </w:rPr>
              <w:t>FAO, WFP, UNHCR, UN Habitat</w:t>
            </w:r>
          </w:p>
        </w:tc>
        <w:tc>
          <w:tcPr>
            <w:tcW w:w="4140" w:type="dxa"/>
            <w:tcBorders>
              <w:top w:val="nil"/>
              <w:left w:val="nil"/>
              <w:bottom w:val="single" w:sz="4" w:space="0" w:color="auto"/>
              <w:right w:val="single" w:sz="4" w:space="0" w:color="auto"/>
            </w:tcBorders>
            <w:shd w:val="clear" w:color="auto" w:fill="auto"/>
            <w:vAlign w:val="center"/>
            <w:hideMark/>
          </w:tcPr>
          <w:p w14:paraId="56D6F8A3"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 xml:space="preserve">MADER (at Provincial and distrital level), MINT/INAR, Highgest </w:t>
            </w:r>
          </w:p>
        </w:tc>
        <w:tc>
          <w:tcPr>
            <w:tcW w:w="2168" w:type="dxa"/>
            <w:tcBorders>
              <w:top w:val="nil"/>
              <w:left w:val="nil"/>
              <w:bottom w:val="single" w:sz="4" w:space="0" w:color="auto"/>
              <w:right w:val="single" w:sz="4" w:space="0" w:color="auto"/>
            </w:tcBorders>
            <w:shd w:val="clear" w:color="auto" w:fill="auto"/>
            <w:noWrap/>
            <w:vAlign w:val="center"/>
            <w:hideMark/>
          </w:tcPr>
          <w:p w14:paraId="100D7529"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 xml:space="preserve">$4,100,000 </w:t>
            </w:r>
          </w:p>
        </w:tc>
      </w:tr>
      <w:tr w:rsidR="00F22F32" w:rsidRPr="00F22F32" w14:paraId="0DD8947C" w14:textId="77777777" w:rsidTr="006D150A">
        <w:trPr>
          <w:trHeight w:val="620"/>
        </w:trPr>
        <w:tc>
          <w:tcPr>
            <w:tcW w:w="1514" w:type="dxa"/>
            <w:tcBorders>
              <w:top w:val="nil"/>
              <w:left w:val="single" w:sz="4" w:space="0" w:color="auto"/>
              <w:bottom w:val="single" w:sz="4" w:space="0" w:color="auto"/>
              <w:right w:val="single" w:sz="4" w:space="0" w:color="auto"/>
            </w:tcBorders>
            <w:shd w:val="clear" w:color="auto" w:fill="auto"/>
            <w:vAlign w:val="center"/>
            <w:hideMark/>
          </w:tcPr>
          <w:p w14:paraId="14178A9D"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Resilience</w:t>
            </w:r>
          </w:p>
        </w:tc>
        <w:tc>
          <w:tcPr>
            <w:tcW w:w="3161" w:type="dxa"/>
            <w:tcBorders>
              <w:top w:val="nil"/>
              <w:left w:val="nil"/>
              <w:bottom w:val="single" w:sz="4" w:space="0" w:color="auto"/>
              <w:right w:val="single" w:sz="4" w:space="0" w:color="auto"/>
            </w:tcBorders>
            <w:shd w:val="clear" w:color="auto" w:fill="auto"/>
            <w:vAlign w:val="center"/>
            <w:hideMark/>
          </w:tcPr>
          <w:p w14:paraId="662D72B0"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Resilience building for food and income security in shock-affected areas (PROACT)</w:t>
            </w:r>
          </w:p>
        </w:tc>
        <w:tc>
          <w:tcPr>
            <w:tcW w:w="1170" w:type="dxa"/>
            <w:tcBorders>
              <w:top w:val="nil"/>
              <w:left w:val="nil"/>
              <w:bottom w:val="single" w:sz="4" w:space="0" w:color="auto"/>
              <w:right w:val="single" w:sz="4" w:space="0" w:color="auto"/>
            </w:tcBorders>
            <w:shd w:val="clear" w:color="auto" w:fill="auto"/>
            <w:noWrap/>
            <w:vAlign w:val="center"/>
            <w:hideMark/>
          </w:tcPr>
          <w:p w14:paraId="7895B8FA"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WFP</w:t>
            </w:r>
          </w:p>
        </w:tc>
        <w:tc>
          <w:tcPr>
            <w:tcW w:w="1170" w:type="dxa"/>
            <w:tcBorders>
              <w:top w:val="nil"/>
              <w:left w:val="nil"/>
              <w:bottom w:val="single" w:sz="4" w:space="0" w:color="auto"/>
              <w:right w:val="single" w:sz="4" w:space="0" w:color="auto"/>
            </w:tcBorders>
            <w:shd w:val="clear" w:color="auto" w:fill="auto"/>
            <w:vAlign w:val="center"/>
            <w:hideMark/>
          </w:tcPr>
          <w:p w14:paraId="22E6565E"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FAO, WFP</w:t>
            </w:r>
          </w:p>
        </w:tc>
        <w:tc>
          <w:tcPr>
            <w:tcW w:w="4140" w:type="dxa"/>
            <w:tcBorders>
              <w:top w:val="nil"/>
              <w:left w:val="nil"/>
              <w:bottom w:val="single" w:sz="4" w:space="0" w:color="auto"/>
              <w:right w:val="single" w:sz="4" w:space="0" w:color="auto"/>
            </w:tcBorders>
            <w:shd w:val="clear" w:color="auto" w:fill="auto"/>
            <w:vAlign w:val="center"/>
            <w:hideMark/>
          </w:tcPr>
          <w:p w14:paraId="798C1E40" w14:textId="77777777" w:rsidR="007626F3" w:rsidRPr="00F22F32" w:rsidRDefault="007626F3" w:rsidP="006D150A">
            <w:pPr>
              <w:rPr>
                <w:rFonts w:ascii="Calibri" w:eastAsia="Times New Roman" w:hAnsi="Calibri" w:cs="Calibri"/>
                <w:sz w:val="18"/>
                <w:szCs w:val="18"/>
                <w:lang w:val="pt-PT"/>
              </w:rPr>
            </w:pPr>
            <w:r w:rsidRPr="00F22F32">
              <w:rPr>
                <w:rFonts w:ascii="Calibri" w:eastAsia="Times New Roman" w:hAnsi="Calibri" w:cs="Calibri"/>
                <w:sz w:val="18"/>
                <w:szCs w:val="18"/>
                <w:lang w:val="pt-PT"/>
              </w:rPr>
              <w:t>MADER/ Direcção Provincial de Agricultura e Pescas</w:t>
            </w:r>
          </w:p>
        </w:tc>
        <w:tc>
          <w:tcPr>
            <w:tcW w:w="2168" w:type="dxa"/>
            <w:tcBorders>
              <w:top w:val="nil"/>
              <w:left w:val="nil"/>
              <w:bottom w:val="single" w:sz="4" w:space="0" w:color="auto"/>
              <w:right w:val="single" w:sz="4" w:space="0" w:color="auto"/>
            </w:tcBorders>
            <w:shd w:val="clear" w:color="auto" w:fill="auto"/>
            <w:noWrap/>
            <w:vAlign w:val="center"/>
            <w:hideMark/>
          </w:tcPr>
          <w:p w14:paraId="0F716FBE"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 xml:space="preserve">$3,000,000 </w:t>
            </w:r>
          </w:p>
        </w:tc>
      </w:tr>
      <w:tr w:rsidR="00F22F32" w:rsidRPr="00F22F32" w14:paraId="13798F24" w14:textId="77777777" w:rsidTr="006D150A">
        <w:trPr>
          <w:trHeight w:val="620"/>
        </w:trPr>
        <w:tc>
          <w:tcPr>
            <w:tcW w:w="1514" w:type="dxa"/>
            <w:tcBorders>
              <w:top w:val="nil"/>
              <w:left w:val="single" w:sz="4" w:space="0" w:color="auto"/>
              <w:bottom w:val="single" w:sz="4" w:space="0" w:color="auto"/>
              <w:right w:val="single" w:sz="4" w:space="0" w:color="auto"/>
            </w:tcBorders>
            <w:shd w:val="clear" w:color="auto" w:fill="auto"/>
            <w:noWrap/>
            <w:vAlign w:val="bottom"/>
            <w:hideMark/>
          </w:tcPr>
          <w:p w14:paraId="48C4FEF6"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lastRenderedPageBreak/>
              <w:t>Health &amp; Nutrition</w:t>
            </w:r>
          </w:p>
        </w:tc>
        <w:tc>
          <w:tcPr>
            <w:tcW w:w="3161" w:type="dxa"/>
            <w:tcBorders>
              <w:top w:val="nil"/>
              <w:left w:val="nil"/>
              <w:bottom w:val="single" w:sz="4" w:space="0" w:color="auto"/>
              <w:right w:val="single" w:sz="4" w:space="0" w:color="auto"/>
            </w:tcBorders>
            <w:shd w:val="clear" w:color="auto" w:fill="auto"/>
            <w:vAlign w:val="bottom"/>
            <w:hideMark/>
          </w:tcPr>
          <w:p w14:paraId="4875F9C2"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WFP&amp;UNICEF's joint nutrition relief recovery operation respon Cyclone</w:t>
            </w:r>
          </w:p>
        </w:tc>
        <w:tc>
          <w:tcPr>
            <w:tcW w:w="1170" w:type="dxa"/>
            <w:tcBorders>
              <w:top w:val="nil"/>
              <w:left w:val="nil"/>
              <w:bottom w:val="single" w:sz="4" w:space="0" w:color="auto"/>
              <w:right w:val="single" w:sz="4" w:space="0" w:color="auto"/>
            </w:tcBorders>
            <w:shd w:val="clear" w:color="auto" w:fill="auto"/>
            <w:noWrap/>
            <w:vAlign w:val="bottom"/>
            <w:hideMark/>
          </w:tcPr>
          <w:p w14:paraId="70FB71DF"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UNICEF, WFP</w:t>
            </w:r>
          </w:p>
        </w:tc>
        <w:tc>
          <w:tcPr>
            <w:tcW w:w="1170" w:type="dxa"/>
            <w:tcBorders>
              <w:top w:val="nil"/>
              <w:left w:val="nil"/>
              <w:bottom w:val="single" w:sz="4" w:space="0" w:color="auto"/>
              <w:right w:val="single" w:sz="4" w:space="0" w:color="auto"/>
            </w:tcBorders>
            <w:shd w:val="clear" w:color="auto" w:fill="auto"/>
            <w:vAlign w:val="bottom"/>
            <w:hideMark/>
          </w:tcPr>
          <w:p w14:paraId="794C7583"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UNICEF, WFP</w:t>
            </w:r>
          </w:p>
        </w:tc>
        <w:tc>
          <w:tcPr>
            <w:tcW w:w="4140" w:type="dxa"/>
            <w:tcBorders>
              <w:top w:val="nil"/>
              <w:left w:val="nil"/>
              <w:bottom w:val="single" w:sz="4" w:space="0" w:color="auto"/>
              <w:right w:val="single" w:sz="4" w:space="0" w:color="auto"/>
            </w:tcBorders>
            <w:shd w:val="clear" w:color="auto" w:fill="auto"/>
            <w:vAlign w:val="bottom"/>
            <w:hideMark/>
          </w:tcPr>
          <w:p w14:paraId="05452C63"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Ministry of Health</w:t>
            </w:r>
          </w:p>
        </w:tc>
        <w:tc>
          <w:tcPr>
            <w:tcW w:w="2168" w:type="dxa"/>
            <w:tcBorders>
              <w:top w:val="nil"/>
              <w:left w:val="nil"/>
              <w:bottom w:val="single" w:sz="4" w:space="0" w:color="auto"/>
              <w:right w:val="single" w:sz="4" w:space="0" w:color="auto"/>
            </w:tcBorders>
            <w:shd w:val="clear" w:color="auto" w:fill="auto"/>
            <w:noWrap/>
            <w:vAlign w:val="center"/>
            <w:hideMark/>
          </w:tcPr>
          <w:p w14:paraId="49C486F0"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 xml:space="preserve">$4,042,251 </w:t>
            </w:r>
          </w:p>
        </w:tc>
      </w:tr>
      <w:tr w:rsidR="00F22F32" w:rsidRPr="00F22F32" w14:paraId="7A51D03A" w14:textId="77777777" w:rsidTr="006D150A">
        <w:trPr>
          <w:trHeight w:val="620"/>
        </w:trPr>
        <w:tc>
          <w:tcPr>
            <w:tcW w:w="1514" w:type="dxa"/>
            <w:tcBorders>
              <w:top w:val="nil"/>
              <w:left w:val="single" w:sz="4" w:space="0" w:color="auto"/>
              <w:bottom w:val="single" w:sz="4" w:space="0" w:color="auto"/>
              <w:right w:val="single" w:sz="4" w:space="0" w:color="auto"/>
            </w:tcBorders>
            <w:shd w:val="clear" w:color="auto" w:fill="auto"/>
            <w:noWrap/>
            <w:vAlign w:val="bottom"/>
            <w:hideMark/>
          </w:tcPr>
          <w:p w14:paraId="39750569"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Education</w:t>
            </w:r>
          </w:p>
        </w:tc>
        <w:tc>
          <w:tcPr>
            <w:tcW w:w="3161" w:type="dxa"/>
            <w:tcBorders>
              <w:top w:val="nil"/>
              <w:left w:val="nil"/>
              <w:bottom w:val="single" w:sz="4" w:space="0" w:color="auto"/>
              <w:right w:val="single" w:sz="4" w:space="0" w:color="auto"/>
            </w:tcBorders>
            <w:shd w:val="clear" w:color="auto" w:fill="auto"/>
            <w:vAlign w:val="bottom"/>
            <w:hideMark/>
          </w:tcPr>
          <w:p w14:paraId="595D62DC"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Growing Safer: Supporting school disaster prevention, building back better reconstruction</w:t>
            </w:r>
          </w:p>
        </w:tc>
        <w:tc>
          <w:tcPr>
            <w:tcW w:w="1170" w:type="dxa"/>
            <w:tcBorders>
              <w:top w:val="nil"/>
              <w:left w:val="nil"/>
              <w:bottom w:val="single" w:sz="4" w:space="0" w:color="auto"/>
              <w:right w:val="single" w:sz="4" w:space="0" w:color="auto"/>
            </w:tcBorders>
            <w:shd w:val="clear" w:color="auto" w:fill="auto"/>
            <w:noWrap/>
            <w:vAlign w:val="bottom"/>
            <w:hideMark/>
          </w:tcPr>
          <w:p w14:paraId="6EA68A54"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UNICEF, UN-Habitat</w:t>
            </w:r>
          </w:p>
        </w:tc>
        <w:tc>
          <w:tcPr>
            <w:tcW w:w="1170" w:type="dxa"/>
            <w:tcBorders>
              <w:top w:val="nil"/>
              <w:left w:val="nil"/>
              <w:bottom w:val="single" w:sz="4" w:space="0" w:color="auto"/>
              <w:right w:val="single" w:sz="4" w:space="0" w:color="auto"/>
            </w:tcBorders>
            <w:shd w:val="clear" w:color="auto" w:fill="auto"/>
            <w:noWrap/>
            <w:vAlign w:val="bottom"/>
            <w:hideMark/>
          </w:tcPr>
          <w:p w14:paraId="0615B4C0"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UNICEF, UN-Habitat</w:t>
            </w:r>
          </w:p>
        </w:tc>
        <w:tc>
          <w:tcPr>
            <w:tcW w:w="4140" w:type="dxa"/>
            <w:tcBorders>
              <w:top w:val="nil"/>
              <w:left w:val="nil"/>
              <w:bottom w:val="single" w:sz="4" w:space="0" w:color="auto"/>
              <w:right w:val="single" w:sz="4" w:space="0" w:color="auto"/>
            </w:tcBorders>
            <w:shd w:val="clear" w:color="auto" w:fill="auto"/>
            <w:vAlign w:val="bottom"/>
            <w:hideMark/>
          </w:tcPr>
          <w:p w14:paraId="09C3E386"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Ministry of Education, Education Cluster</w:t>
            </w:r>
          </w:p>
        </w:tc>
        <w:tc>
          <w:tcPr>
            <w:tcW w:w="2168" w:type="dxa"/>
            <w:tcBorders>
              <w:top w:val="nil"/>
              <w:left w:val="nil"/>
              <w:bottom w:val="single" w:sz="4" w:space="0" w:color="auto"/>
              <w:right w:val="single" w:sz="4" w:space="0" w:color="auto"/>
            </w:tcBorders>
            <w:shd w:val="clear" w:color="auto" w:fill="auto"/>
            <w:noWrap/>
            <w:vAlign w:val="center"/>
            <w:hideMark/>
          </w:tcPr>
          <w:p w14:paraId="3AFC40E1"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 xml:space="preserve">$182,728 </w:t>
            </w:r>
          </w:p>
        </w:tc>
      </w:tr>
      <w:tr w:rsidR="00F22F32" w:rsidRPr="00F22F32" w14:paraId="5938E1EE" w14:textId="77777777" w:rsidTr="006D150A">
        <w:trPr>
          <w:trHeight w:val="620"/>
        </w:trPr>
        <w:tc>
          <w:tcPr>
            <w:tcW w:w="1514" w:type="dxa"/>
            <w:tcBorders>
              <w:top w:val="nil"/>
              <w:left w:val="single" w:sz="4" w:space="0" w:color="auto"/>
              <w:bottom w:val="single" w:sz="4" w:space="0" w:color="auto"/>
              <w:right w:val="single" w:sz="4" w:space="0" w:color="auto"/>
            </w:tcBorders>
            <w:shd w:val="clear" w:color="auto" w:fill="auto"/>
            <w:vAlign w:val="bottom"/>
            <w:hideMark/>
          </w:tcPr>
          <w:p w14:paraId="2FAE2EC4"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Programme Coordination Unit</w:t>
            </w:r>
          </w:p>
        </w:tc>
        <w:tc>
          <w:tcPr>
            <w:tcW w:w="3161" w:type="dxa"/>
            <w:tcBorders>
              <w:top w:val="nil"/>
              <w:left w:val="nil"/>
              <w:bottom w:val="single" w:sz="4" w:space="0" w:color="auto"/>
              <w:right w:val="single" w:sz="4" w:space="0" w:color="auto"/>
            </w:tcBorders>
            <w:shd w:val="clear" w:color="auto" w:fill="auto"/>
            <w:noWrap/>
            <w:vAlign w:val="bottom"/>
            <w:hideMark/>
          </w:tcPr>
          <w:p w14:paraId="4844EC0B"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Provision of tollfree inter-agency reporting for enhanced AAP</w:t>
            </w:r>
          </w:p>
        </w:tc>
        <w:tc>
          <w:tcPr>
            <w:tcW w:w="1170" w:type="dxa"/>
            <w:tcBorders>
              <w:top w:val="nil"/>
              <w:left w:val="nil"/>
              <w:bottom w:val="single" w:sz="4" w:space="0" w:color="auto"/>
              <w:right w:val="single" w:sz="4" w:space="0" w:color="auto"/>
            </w:tcBorders>
            <w:shd w:val="clear" w:color="auto" w:fill="auto"/>
            <w:noWrap/>
            <w:vAlign w:val="bottom"/>
            <w:hideMark/>
          </w:tcPr>
          <w:p w14:paraId="17204FD8"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UNICEF</w:t>
            </w:r>
          </w:p>
        </w:tc>
        <w:tc>
          <w:tcPr>
            <w:tcW w:w="1170" w:type="dxa"/>
            <w:tcBorders>
              <w:top w:val="nil"/>
              <w:left w:val="nil"/>
              <w:bottom w:val="single" w:sz="4" w:space="0" w:color="auto"/>
              <w:right w:val="single" w:sz="4" w:space="0" w:color="auto"/>
            </w:tcBorders>
            <w:shd w:val="clear" w:color="auto" w:fill="auto"/>
            <w:vAlign w:val="bottom"/>
            <w:hideMark/>
          </w:tcPr>
          <w:p w14:paraId="4DA3CFE2"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WFP</w:t>
            </w:r>
          </w:p>
        </w:tc>
        <w:tc>
          <w:tcPr>
            <w:tcW w:w="4140" w:type="dxa"/>
            <w:tcBorders>
              <w:top w:val="nil"/>
              <w:left w:val="nil"/>
              <w:bottom w:val="single" w:sz="4" w:space="0" w:color="auto"/>
              <w:right w:val="single" w:sz="4" w:space="0" w:color="auto"/>
            </w:tcBorders>
            <w:shd w:val="clear" w:color="auto" w:fill="auto"/>
            <w:vAlign w:val="bottom"/>
            <w:hideMark/>
          </w:tcPr>
          <w:p w14:paraId="206AF6B5"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 </w:t>
            </w:r>
          </w:p>
        </w:tc>
        <w:tc>
          <w:tcPr>
            <w:tcW w:w="2168" w:type="dxa"/>
            <w:tcBorders>
              <w:top w:val="nil"/>
              <w:left w:val="nil"/>
              <w:bottom w:val="single" w:sz="4" w:space="0" w:color="auto"/>
              <w:right w:val="single" w:sz="4" w:space="0" w:color="auto"/>
            </w:tcBorders>
            <w:shd w:val="clear" w:color="auto" w:fill="auto"/>
            <w:noWrap/>
            <w:vAlign w:val="center"/>
            <w:hideMark/>
          </w:tcPr>
          <w:p w14:paraId="42873CEB"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 xml:space="preserve">$17,512 </w:t>
            </w:r>
          </w:p>
        </w:tc>
      </w:tr>
      <w:tr w:rsidR="00F22F32" w:rsidRPr="00F22F32" w14:paraId="71B98AFD" w14:textId="77777777" w:rsidTr="006D150A">
        <w:trPr>
          <w:trHeight w:val="620"/>
        </w:trPr>
        <w:tc>
          <w:tcPr>
            <w:tcW w:w="1514" w:type="dxa"/>
            <w:tcBorders>
              <w:top w:val="nil"/>
              <w:left w:val="single" w:sz="4" w:space="0" w:color="auto"/>
              <w:bottom w:val="single" w:sz="4" w:space="0" w:color="auto"/>
              <w:right w:val="single" w:sz="4" w:space="0" w:color="auto"/>
            </w:tcBorders>
            <w:shd w:val="clear" w:color="auto" w:fill="auto"/>
            <w:vAlign w:val="bottom"/>
            <w:hideMark/>
          </w:tcPr>
          <w:p w14:paraId="76404A23"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Social Policy Evaluation &amp; Reseach</w:t>
            </w:r>
          </w:p>
        </w:tc>
        <w:tc>
          <w:tcPr>
            <w:tcW w:w="3161" w:type="dxa"/>
            <w:tcBorders>
              <w:top w:val="nil"/>
              <w:left w:val="nil"/>
              <w:bottom w:val="single" w:sz="4" w:space="0" w:color="auto"/>
              <w:right w:val="single" w:sz="4" w:space="0" w:color="auto"/>
            </w:tcBorders>
            <w:shd w:val="clear" w:color="auto" w:fill="auto"/>
            <w:noWrap/>
            <w:vAlign w:val="center"/>
            <w:hideMark/>
          </w:tcPr>
          <w:p w14:paraId="1B692963" w14:textId="796AF5DE"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Unconditional cash transfers to vulnerable households under the national social protection response to COVID</w:t>
            </w:r>
            <w:r w:rsidR="00C77FE3" w:rsidRPr="00F22F32">
              <w:rPr>
                <w:rFonts w:ascii="Calibri" w:eastAsia="Times New Roman" w:hAnsi="Calibri" w:cs="Calibri"/>
                <w:sz w:val="18"/>
                <w:szCs w:val="18"/>
              </w:rPr>
              <w:t>-</w:t>
            </w:r>
            <w:r w:rsidRPr="00F22F32">
              <w:rPr>
                <w:rFonts w:ascii="Calibri" w:eastAsia="Times New Roman" w:hAnsi="Calibri" w:cs="Calibri"/>
                <w:sz w:val="18"/>
                <w:szCs w:val="18"/>
              </w:rPr>
              <w:t>19</w:t>
            </w:r>
          </w:p>
        </w:tc>
        <w:tc>
          <w:tcPr>
            <w:tcW w:w="1170" w:type="dxa"/>
            <w:tcBorders>
              <w:top w:val="nil"/>
              <w:left w:val="nil"/>
              <w:bottom w:val="single" w:sz="4" w:space="0" w:color="auto"/>
              <w:right w:val="single" w:sz="4" w:space="0" w:color="auto"/>
            </w:tcBorders>
            <w:shd w:val="clear" w:color="auto" w:fill="auto"/>
            <w:noWrap/>
            <w:vAlign w:val="bottom"/>
            <w:hideMark/>
          </w:tcPr>
          <w:p w14:paraId="2C657A6E"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UNICEF</w:t>
            </w:r>
          </w:p>
        </w:tc>
        <w:tc>
          <w:tcPr>
            <w:tcW w:w="1170" w:type="dxa"/>
            <w:tcBorders>
              <w:top w:val="nil"/>
              <w:left w:val="nil"/>
              <w:bottom w:val="single" w:sz="4" w:space="0" w:color="auto"/>
              <w:right w:val="single" w:sz="4" w:space="0" w:color="auto"/>
            </w:tcBorders>
            <w:shd w:val="clear" w:color="auto" w:fill="auto"/>
            <w:noWrap/>
            <w:vAlign w:val="bottom"/>
            <w:hideMark/>
          </w:tcPr>
          <w:p w14:paraId="4C16A208"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WFP</w:t>
            </w:r>
          </w:p>
        </w:tc>
        <w:tc>
          <w:tcPr>
            <w:tcW w:w="4140" w:type="dxa"/>
            <w:tcBorders>
              <w:top w:val="nil"/>
              <w:left w:val="nil"/>
              <w:bottom w:val="single" w:sz="4" w:space="0" w:color="auto"/>
              <w:right w:val="single" w:sz="4" w:space="0" w:color="auto"/>
            </w:tcBorders>
            <w:shd w:val="clear" w:color="auto" w:fill="auto"/>
            <w:vAlign w:val="bottom"/>
            <w:hideMark/>
          </w:tcPr>
          <w:p w14:paraId="1B52DF1B"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 </w:t>
            </w:r>
          </w:p>
        </w:tc>
        <w:tc>
          <w:tcPr>
            <w:tcW w:w="2168" w:type="dxa"/>
            <w:tcBorders>
              <w:top w:val="nil"/>
              <w:left w:val="nil"/>
              <w:bottom w:val="single" w:sz="4" w:space="0" w:color="auto"/>
              <w:right w:val="single" w:sz="4" w:space="0" w:color="auto"/>
            </w:tcBorders>
            <w:shd w:val="clear" w:color="auto" w:fill="auto"/>
            <w:noWrap/>
            <w:vAlign w:val="center"/>
            <w:hideMark/>
          </w:tcPr>
          <w:p w14:paraId="5545CC40"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 xml:space="preserve">$500,000 </w:t>
            </w:r>
          </w:p>
        </w:tc>
      </w:tr>
      <w:tr w:rsidR="00F22F32" w:rsidRPr="00F22F32" w14:paraId="0CE94CA2" w14:textId="77777777" w:rsidTr="006D150A">
        <w:trPr>
          <w:trHeight w:val="620"/>
        </w:trPr>
        <w:tc>
          <w:tcPr>
            <w:tcW w:w="1514" w:type="dxa"/>
            <w:tcBorders>
              <w:top w:val="nil"/>
              <w:left w:val="single" w:sz="4" w:space="0" w:color="auto"/>
              <w:bottom w:val="single" w:sz="4" w:space="0" w:color="auto"/>
              <w:right w:val="single" w:sz="4" w:space="0" w:color="auto"/>
            </w:tcBorders>
            <w:shd w:val="clear" w:color="auto" w:fill="auto"/>
            <w:noWrap/>
            <w:vAlign w:val="bottom"/>
            <w:hideMark/>
          </w:tcPr>
          <w:p w14:paraId="761600A5"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Education</w:t>
            </w:r>
          </w:p>
        </w:tc>
        <w:tc>
          <w:tcPr>
            <w:tcW w:w="3161" w:type="dxa"/>
            <w:tcBorders>
              <w:top w:val="nil"/>
              <w:left w:val="nil"/>
              <w:bottom w:val="single" w:sz="4" w:space="0" w:color="auto"/>
              <w:right w:val="single" w:sz="4" w:space="0" w:color="auto"/>
            </w:tcBorders>
            <w:shd w:val="clear" w:color="auto" w:fill="auto"/>
            <w:noWrap/>
            <w:vAlign w:val="center"/>
            <w:hideMark/>
          </w:tcPr>
          <w:p w14:paraId="4523BA25"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School Feeding under the Education in Emergency Programme financed by the Global Partnership for Education (GPE)</w:t>
            </w:r>
          </w:p>
        </w:tc>
        <w:tc>
          <w:tcPr>
            <w:tcW w:w="1170" w:type="dxa"/>
            <w:tcBorders>
              <w:top w:val="nil"/>
              <w:left w:val="nil"/>
              <w:bottom w:val="single" w:sz="4" w:space="0" w:color="auto"/>
              <w:right w:val="single" w:sz="4" w:space="0" w:color="auto"/>
            </w:tcBorders>
            <w:shd w:val="clear" w:color="auto" w:fill="auto"/>
            <w:noWrap/>
            <w:vAlign w:val="bottom"/>
            <w:hideMark/>
          </w:tcPr>
          <w:p w14:paraId="06A8EF31"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UNICEF</w:t>
            </w:r>
          </w:p>
        </w:tc>
        <w:tc>
          <w:tcPr>
            <w:tcW w:w="1170" w:type="dxa"/>
            <w:tcBorders>
              <w:top w:val="nil"/>
              <w:left w:val="nil"/>
              <w:bottom w:val="single" w:sz="4" w:space="0" w:color="auto"/>
              <w:right w:val="single" w:sz="4" w:space="0" w:color="auto"/>
            </w:tcBorders>
            <w:shd w:val="clear" w:color="auto" w:fill="auto"/>
            <w:noWrap/>
            <w:vAlign w:val="bottom"/>
            <w:hideMark/>
          </w:tcPr>
          <w:p w14:paraId="19ECE4CC"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WFP</w:t>
            </w:r>
          </w:p>
        </w:tc>
        <w:tc>
          <w:tcPr>
            <w:tcW w:w="4140" w:type="dxa"/>
            <w:tcBorders>
              <w:top w:val="nil"/>
              <w:left w:val="nil"/>
              <w:bottom w:val="single" w:sz="4" w:space="0" w:color="auto"/>
              <w:right w:val="single" w:sz="4" w:space="0" w:color="auto"/>
            </w:tcBorders>
            <w:shd w:val="clear" w:color="auto" w:fill="auto"/>
            <w:vAlign w:val="bottom"/>
            <w:hideMark/>
          </w:tcPr>
          <w:p w14:paraId="30123037"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 </w:t>
            </w:r>
          </w:p>
        </w:tc>
        <w:tc>
          <w:tcPr>
            <w:tcW w:w="2168" w:type="dxa"/>
            <w:tcBorders>
              <w:top w:val="nil"/>
              <w:left w:val="nil"/>
              <w:bottom w:val="single" w:sz="4" w:space="0" w:color="auto"/>
              <w:right w:val="single" w:sz="4" w:space="0" w:color="auto"/>
            </w:tcBorders>
            <w:shd w:val="clear" w:color="auto" w:fill="auto"/>
            <w:noWrap/>
            <w:vAlign w:val="center"/>
            <w:hideMark/>
          </w:tcPr>
          <w:p w14:paraId="44D07A1C"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 xml:space="preserve">$5,040,299 </w:t>
            </w:r>
          </w:p>
        </w:tc>
      </w:tr>
      <w:tr w:rsidR="00F22F32" w:rsidRPr="00F22F32" w14:paraId="6A03F1DC" w14:textId="77777777" w:rsidTr="006D150A">
        <w:trPr>
          <w:trHeight w:val="620"/>
        </w:trPr>
        <w:tc>
          <w:tcPr>
            <w:tcW w:w="1514" w:type="dxa"/>
            <w:tcBorders>
              <w:top w:val="nil"/>
              <w:left w:val="single" w:sz="4" w:space="0" w:color="auto"/>
              <w:bottom w:val="single" w:sz="4" w:space="0" w:color="auto"/>
              <w:right w:val="single" w:sz="4" w:space="0" w:color="auto"/>
            </w:tcBorders>
            <w:shd w:val="clear" w:color="auto" w:fill="auto"/>
            <w:noWrap/>
            <w:vAlign w:val="bottom"/>
            <w:hideMark/>
          </w:tcPr>
          <w:p w14:paraId="6D2D88C3"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Child Protection</w:t>
            </w:r>
          </w:p>
        </w:tc>
        <w:tc>
          <w:tcPr>
            <w:tcW w:w="3161" w:type="dxa"/>
            <w:tcBorders>
              <w:top w:val="nil"/>
              <w:left w:val="nil"/>
              <w:bottom w:val="single" w:sz="4" w:space="0" w:color="auto"/>
              <w:right w:val="single" w:sz="4" w:space="0" w:color="auto"/>
            </w:tcBorders>
            <w:shd w:val="clear" w:color="auto" w:fill="auto"/>
            <w:vAlign w:val="bottom"/>
            <w:hideMark/>
          </w:tcPr>
          <w:p w14:paraId="06E49D99"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 xml:space="preserve">Support technical assistance to Coalition to End Child Marriage (CECAP) to coordinate CSO activities with government </w:t>
            </w:r>
          </w:p>
        </w:tc>
        <w:tc>
          <w:tcPr>
            <w:tcW w:w="1170" w:type="dxa"/>
            <w:tcBorders>
              <w:top w:val="nil"/>
              <w:left w:val="nil"/>
              <w:bottom w:val="single" w:sz="4" w:space="0" w:color="auto"/>
              <w:right w:val="single" w:sz="4" w:space="0" w:color="auto"/>
            </w:tcBorders>
            <w:shd w:val="clear" w:color="auto" w:fill="auto"/>
            <w:noWrap/>
            <w:vAlign w:val="bottom"/>
            <w:hideMark/>
          </w:tcPr>
          <w:p w14:paraId="0B7EBAB2"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UNICEF</w:t>
            </w:r>
          </w:p>
        </w:tc>
        <w:tc>
          <w:tcPr>
            <w:tcW w:w="1170" w:type="dxa"/>
            <w:tcBorders>
              <w:top w:val="nil"/>
              <w:left w:val="nil"/>
              <w:bottom w:val="single" w:sz="4" w:space="0" w:color="auto"/>
              <w:right w:val="single" w:sz="4" w:space="0" w:color="auto"/>
            </w:tcBorders>
            <w:shd w:val="clear" w:color="auto" w:fill="auto"/>
            <w:noWrap/>
            <w:vAlign w:val="bottom"/>
            <w:hideMark/>
          </w:tcPr>
          <w:p w14:paraId="17CCF66A"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UNFPA</w:t>
            </w:r>
          </w:p>
        </w:tc>
        <w:tc>
          <w:tcPr>
            <w:tcW w:w="4140" w:type="dxa"/>
            <w:tcBorders>
              <w:top w:val="nil"/>
              <w:left w:val="nil"/>
              <w:bottom w:val="single" w:sz="4" w:space="0" w:color="auto"/>
              <w:right w:val="single" w:sz="4" w:space="0" w:color="auto"/>
            </w:tcBorders>
            <w:shd w:val="clear" w:color="auto" w:fill="auto"/>
            <w:vAlign w:val="bottom"/>
            <w:hideMark/>
          </w:tcPr>
          <w:p w14:paraId="2D15F961"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 </w:t>
            </w:r>
          </w:p>
        </w:tc>
        <w:tc>
          <w:tcPr>
            <w:tcW w:w="2168" w:type="dxa"/>
            <w:tcBorders>
              <w:top w:val="nil"/>
              <w:left w:val="nil"/>
              <w:bottom w:val="single" w:sz="4" w:space="0" w:color="auto"/>
              <w:right w:val="single" w:sz="4" w:space="0" w:color="auto"/>
            </w:tcBorders>
            <w:shd w:val="clear" w:color="auto" w:fill="auto"/>
            <w:noWrap/>
            <w:vAlign w:val="center"/>
            <w:hideMark/>
          </w:tcPr>
          <w:p w14:paraId="3F0CD2E8"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 xml:space="preserve">$73,830 </w:t>
            </w:r>
          </w:p>
        </w:tc>
      </w:tr>
      <w:tr w:rsidR="00F22F32" w:rsidRPr="00F22F32" w14:paraId="655998F3" w14:textId="77777777" w:rsidTr="006D150A">
        <w:trPr>
          <w:trHeight w:val="620"/>
        </w:trPr>
        <w:tc>
          <w:tcPr>
            <w:tcW w:w="1514" w:type="dxa"/>
            <w:tcBorders>
              <w:top w:val="nil"/>
              <w:left w:val="single" w:sz="4" w:space="0" w:color="auto"/>
              <w:bottom w:val="single" w:sz="4" w:space="0" w:color="auto"/>
              <w:right w:val="single" w:sz="4" w:space="0" w:color="auto"/>
            </w:tcBorders>
            <w:shd w:val="clear" w:color="auto" w:fill="auto"/>
            <w:noWrap/>
            <w:vAlign w:val="bottom"/>
            <w:hideMark/>
          </w:tcPr>
          <w:p w14:paraId="34626E1F"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Child Protection</w:t>
            </w:r>
          </w:p>
        </w:tc>
        <w:tc>
          <w:tcPr>
            <w:tcW w:w="3161" w:type="dxa"/>
            <w:tcBorders>
              <w:top w:val="nil"/>
              <w:left w:val="nil"/>
              <w:bottom w:val="single" w:sz="4" w:space="0" w:color="auto"/>
              <w:right w:val="single" w:sz="4" w:space="0" w:color="auto"/>
            </w:tcBorders>
            <w:shd w:val="clear" w:color="auto" w:fill="auto"/>
            <w:vAlign w:val="bottom"/>
            <w:hideMark/>
          </w:tcPr>
          <w:p w14:paraId="3F277600"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Assessing the protection and child protection risks and needs in Cabo Delgado</w:t>
            </w:r>
          </w:p>
        </w:tc>
        <w:tc>
          <w:tcPr>
            <w:tcW w:w="1170" w:type="dxa"/>
            <w:tcBorders>
              <w:top w:val="nil"/>
              <w:left w:val="nil"/>
              <w:bottom w:val="single" w:sz="4" w:space="0" w:color="auto"/>
              <w:right w:val="single" w:sz="4" w:space="0" w:color="auto"/>
            </w:tcBorders>
            <w:shd w:val="clear" w:color="auto" w:fill="auto"/>
            <w:noWrap/>
            <w:vAlign w:val="bottom"/>
            <w:hideMark/>
          </w:tcPr>
          <w:p w14:paraId="67E6B690"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UNICEF</w:t>
            </w:r>
          </w:p>
        </w:tc>
        <w:tc>
          <w:tcPr>
            <w:tcW w:w="1170" w:type="dxa"/>
            <w:tcBorders>
              <w:top w:val="nil"/>
              <w:left w:val="nil"/>
              <w:bottom w:val="single" w:sz="4" w:space="0" w:color="auto"/>
              <w:right w:val="single" w:sz="4" w:space="0" w:color="auto"/>
            </w:tcBorders>
            <w:shd w:val="clear" w:color="auto" w:fill="auto"/>
            <w:noWrap/>
            <w:vAlign w:val="bottom"/>
            <w:hideMark/>
          </w:tcPr>
          <w:p w14:paraId="18F6A6FB"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IOM</w:t>
            </w:r>
          </w:p>
        </w:tc>
        <w:tc>
          <w:tcPr>
            <w:tcW w:w="4140" w:type="dxa"/>
            <w:tcBorders>
              <w:top w:val="nil"/>
              <w:left w:val="nil"/>
              <w:bottom w:val="single" w:sz="4" w:space="0" w:color="auto"/>
              <w:right w:val="single" w:sz="4" w:space="0" w:color="auto"/>
            </w:tcBorders>
            <w:shd w:val="clear" w:color="auto" w:fill="auto"/>
            <w:vAlign w:val="bottom"/>
            <w:hideMark/>
          </w:tcPr>
          <w:p w14:paraId="4970978A"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 </w:t>
            </w:r>
          </w:p>
        </w:tc>
        <w:tc>
          <w:tcPr>
            <w:tcW w:w="2168" w:type="dxa"/>
            <w:tcBorders>
              <w:top w:val="nil"/>
              <w:left w:val="nil"/>
              <w:bottom w:val="single" w:sz="4" w:space="0" w:color="auto"/>
              <w:right w:val="single" w:sz="4" w:space="0" w:color="auto"/>
            </w:tcBorders>
            <w:shd w:val="clear" w:color="auto" w:fill="auto"/>
            <w:noWrap/>
            <w:vAlign w:val="center"/>
            <w:hideMark/>
          </w:tcPr>
          <w:p w14:paraId="7F727759"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 xml:space="preserve">$105,000 </w:t>
            </w:r>
          </w:p>
        </w:tc>
      </w:tr>
      <w:tr w:rsidR="00F22F32" w:rsidRPr="00F22F32" w14:paraId="0438148C" w14:textId="77777777" w:rsidTr="006D150A">
        <w:trPr>
          <w:trHeight w:val="620"/>
        </w:trPr>
        <w:tc>
          <w:tcPr>
            <w:tcW w:w="1514" w:type="dxa"/>
            <w:tcBorders>
              <w:top w:val="nil"/>
              <w:left w:val="single" w:sz="4" w:space="0" w:color="auto"/>
              <w:bottom w:val="single" w:sz="4" w:space="0" w:color="auto"/>
              <w:right w:val="single" w:sz="4" w:space="0" w:color="auto"/>
            </w:tcBorders>
            <w:shd w:val="clear" w:color="auto" w:fill="auto"/>
            <w:noWrap/>
            <w:vAlign w:val="bottom"/>
            <w:hideMark/>
          </w:tcPr>
          <w:p w14:paraId="394D99CA"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CHN</w:t>
            </w:r>
          </w:p>
        </w:tc>
        <w:tc>
          <w:tcPr>
            <w:tcW w:w="3161" w:type="dxa"/>
            <w:tcBorders>
              <w:top w:val="nil"/>
              <w:left w:val="nil"/>
              <w:bottom w:val="single" w:sz="4" w:space="0" w:color="auto"/>
              <w:right w:val="single" w:sz="4" w:space="0" w:color="auto"/>
            </w:tcBorders>
            <w:shd w:val="clear" w:color="auto" w:fill="auto"/>
            <w:vAlign w:val="bottom"/>
            <w:hideMark/>
          </w:tcPr>
          <w:p w14:paraId="7111A95B"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Enhancing HIV and TB response for displaced and vulnerable populations in Cabo Delgado</w:t>
            </w:r>
          </w:p>
        </w:tc>
        <w:tc>
          <w:tcPr>
            <w:tcW w:w="1170" w:type="dxa"/>
            <w:tcBorders>
              <w:top w:val="nil"/>
              <w:left w:val="nil"/>
              <w:bottom w:val="single" w:sz="4" w:space="0" w:color="auto"/>
              <w:right w:val="single" w:sz="4" w:space="0" w:color="auto"/>
            </w:tcBorders>
            <w:shd w:val="clear" w:color="auto" w:fill="auto"/>
            <w:noWrap/>
            <w:vAlign w:val="bottom"/>
            <w:hideMark/>
          </w:tcPr>
          <w:p w14:paraId="4D9AF321"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UNICEF</w:t>
            </w:r>
          </w:p>
        </w:tc>
        <w:tc>
          <w:tcPr>
            <w:tcW w:w="1170" w:type="dxa"/>
            <w:tcBorders>
              <w:top w:val="nil"/>
              <w:left w:val="nil"/>
              <w:bottom w:val="single" w:sz="4" w:space="0" w:color="auto"/>
              <w:right w:val="single" w:sz="4" w:space="0" w:color="auto"/>
            </w:tcBorders>
            <w:shd w:val="clear" w:color="auto" w:fill="auto"/>
            <w:noWrap/>
            <w:vAlign w:val="bottom"/>
            <w:hideMark/>
          </w:tcPr>
          <w:p w14:paraId="4C6E288E"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IOM</w:t>
            </w:r>
          </w:p>
        </w:tc>
        <w:tc>
          <w:tcPr>
            <w:tcW w:w="4140" w:type="dxa"/>
            <w:tcBorders>
              <w:top w:val="nil"/>
              <w:left w:val="nil"/>
              <w:bottom w:val="single" w:sz="4" w:space="0" w:color="auto"/>
              <w:right w:val="single" w:sz="4" w:space="0" w:color="auto"/>
            </w:tcBorders>
            <w:shd w:val="clear" w:color="auto" w:fill="auto"/>
            <w:vAlign w:val="bottom"/>
            <w:hideMark/>
          </w:tcPr>
          <w:p w14:paraId="3916BB2F"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 </w:t>
            </w:r>
          </w:p>
        </w:tc>
        <w:tc>
          <w:tcPr>
            <w:tcW w:w="2168" w:type="dxa"/>
            <w:tcBorders>
              <w:top w:val="nil"/>
              <w:left w:val="nil"/>
              <w:bottom w:val="single" w:sz="4" w:space="0" w:color="auto"/>
              <w:right w:val="single" w:sz="4" w:space="0" w:color="auto"/>
            </w:tcBorders>
            <w:shd w:val="clear" w:color="auto" w:fill="auto"/>
            <w:noWrap/>
            <w:vAlign w:val="center"/>
            <w:hideMark/>
          </w:tcPr>
          <w:p w14:paraId="3817CD9F"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 xml:space="preserve">$150,000 </w:t>
            </w:r>
          </w:p>
        </w:tc>
      </w:tr>
      <w:tr w:rsidR="00F22F32" w:rsidRPr="00F22F32" w14:paraId="53B5F371" w14:textId="77777777" w:rsidTr="006D150A">
        <w:trPr>
          <w:trHeight w:val="620"/>
        </w:trPr>
        <w:tc>
          <w:tcPr>
            <w:tcW w:w="1514" w:type="dxa"/>
            <w:tcBorders>
              <w:top w:val="nil"/>
              <w:left w:val="single" w:sz="4" w:space="0" w:color="auto"/>
              <w:bottom w:val="single" w:sz="4" w:space="0" w:color="auto"/>
              <w:right w:val="single" w:sz="4" w:space="0" w:color="auto"/>
            </w:tcBorders>
            <w:shd w:val="clear" w:color="auto" w:fill="auto"/>
            <w:noWrap/>
            <w:vAlign w:val="bottom"/>
            <w:hideMark/>
          </w:tcPr>
          <w:p w14:paraId="7678F2C8"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Child Protection</w:t>
            </w:r>
          </w:p>
        </w:tc>
        <w:tc>
          <w:tcPr>
            <w:tcW w:w="3161" w:type="dxa"/>
            <w:tcBorders>
              <w:top w:val="nil"/>
              <w:left w:val="nil"/>
              <w:bottom w:val="single" w:sz="4" w:space="0" w:color="auto"/>
              <w:right w:val="single" w:sz="4" w:space="0" w:color="auto"/>
            </w:tcBorders>
            <w:shd w:val="clear" w:color="auto" w:fill="auto"/>
            <w:vAlign w:val="bottom"/>
            <w:hideMark/>
          </w:tcPr>
          <w:p w14:paraId="1906DE24" w14:textId="19D9A936"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 xml:space="preserve">Pilot intervention in supporting GoM in strengthening reference groups for child protection and </w:t>
            </w:r>
            <w:r w:rsidR="00C77FE3" w:rsidRPr="00F22F32">
              <w:rPr>
                <w:rFonts w:ascii="Calibri" w:eastAsia="Times New Roman" w:hAnsi="Calibri" w:cs="Calibri"/>
                <w:sz w:val="18"/>
                <w:szCs w:val="18"/>
              </w:rPr>
              <w:t>combating</w:t>
            </w:r>
            <w:r w:rsidRPr="00F22F32">
              <w:rPr>
                <w:rFonts w:ascii="Calibri" w:eastAsia="Times New Roman" w:hAnsi="Calibri" w:cs="Calibri"/>
                <w:sz w:val="18"/>
                <w:szCs w:val="18"/>
              </w:rPr>
              <w:t xml:space="preserve"> trafficking in persons</w:t>
            </w:r>
          </w:p>
        </w:tc>
        <w:tc>
          <w:tcPr>
            <w:tcW w:w="1170" w:type="dxa"/>
            <w:tcBorders>
              <w:top w:val="nil"/>
              <w:left w:val="nil"/>
              <w:bottom w:val="single" w:sz="4" w:space="0" w:color="auto"/>
              <w:right w:val="single" w:sz="4" w:space="0" w:color="auto"/>
            </w:tcBorders>
            <w:shd w:val="clear" w:color="auto" w:fill="auto"/>
            <w:noWrap/>
            <w:vAlign w:val="bottom"/>
            <w:hideMark/>
          </w:tcPr>
          <w:p w14:paraId="3784CBBE"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UNICEF</w:t>
            </w:r>
          </w:p>
        </w:tc>
        <w:tc>
          <w:tcPr>
            <w:tcW w:w="1170" w:type="dxa"/>
            <w:tcBorders>
              <w:top w:val="nil"/>
              <w:left w:val="nil"/>
              <w:bottom w:val="single" w:sz="4" w:space="0" w:color="auto"/>
              <w:right w:val="single" w:sz="4" w:space="0" w:color="auto"/>
            </w:tcBorders>
            <w:shd w:val="clear" w:color="auto" w:fill="auto"/>
            <w:noWrap/>
            <w:vAlign w:val="bottom"/>
            <w:hideMark/>
          </w:tcPr>
          <w:p w14:paraId="7C89087E"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IOM</w:t>
            </w:r>
          </w:p>
        </w:tc>
        <w:tc>
          <w:tcPr>
            <w:tcW w:w="4140" w:type="dxa"/>
            <w:tcBorders>
              <w:top w:val="nil"/>
              <w:left w:val="nil"/>
              <w:bottom w:val="single" w:sz="4" w:space="0" w:color="auto"/>
              <w:right w:val="single" w:sz="4" w:space="0" w:color="auto"/>
            </w:tcBorders>
            <w:shd w:val="clear" w:color="auto" w:fill="auto"/>
            <w:vAlign w:val="bottom"/>
            <w:hideMark/>
          </w:tcPr>
          <w:p w14:paraId="3017CD20"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 </w:t>
            </w:r>
          </w:p>
        </w:tc>
        <w:tc>
          <w:tcPr>
            <w:tcW w:w="2168" w:type="dxa"/>
            <w:tcBorders>
              <w:top w:val="nil"/>
              <w:left w:val="nil"/>
              <w:bottom w:val="single" w:sz="4" w:space="0" w:color="auto"/>
              <w:right w:val="single" w:sz="4" w:space="0" w:color="auto"/>
            </w:tcBorders>
            <w:shd w:val="clear" w:color="auto" w:fill="auto"/>
            <w:noWrap/>
            <w:vAlign w:val="center"/>
            <w:hideMark/>
          </w:tcPr>
          <w:p w14:paraId="1C250823"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 xml:space="preserve">$320,000 </w:t>
            </w:r>
          </w:p>
        </w:tc>
      </w:tr>
      <w:tr w:rsidR="00F22F32" w:rsidRPr="00F22F32" w14:paraId="1752D5AA" w14:textId="77777777" w:rsidTr="006D150A">
        <w:trPr>
          <w:trHeight w:val="620"/>
        </w:trPr>
        <w:tc>
          <w:tcPr>
            <w:tcW w:w="1514" w:type="dxa"/>
            <w:tcBorders>
              <w:top w:val="nil"/>
              <w:left w:val="single" w:sz="4" w:space="0" w:color="auto"/>
              <w:bottom w:val="single" w:sz="4" w:space="0" w:color="auto"/>
              <w:right w:val="single" w:sz="4" w:space="0" w:color="auto"/>
            </w:tcBorders>
            <w:shd w:val="clear" w:color="auto" w:fill="auto"/>
            <w:noWrap/>
            <w:vAlign w:val="bottom"/>
            <w:hideMark/>
          </w:tcPr>
          <w:p w14:paraId="06490FE5"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Education</w:t>
            </w:r>
          </w:p>
        </w:tc>
        <w:tc>
          <w:tcPr>
            <w:tcW w:w="3161" w:type="dxa"/>
            <w:tcBorders>
              <w:top w:val="nil"/>
              <w:left w:val="nil"/>
              <w:bottom w:val="single" w:sz="4" w:space="0" w:color="auto"/>
              <w:right w:val="single" w:sz="4" w:space="0" w:color="auto"/>
            </w:tcBorders>
            <w:shd w:val="clear" w:color="auto" w:fill="auto"/>
            <w:noWrap/>
            <w:vAlign w:val="center"/>
            <w:hideMark/>
          </w:tcPr>
          <w:p w14:paraId="3BF36F80"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 xml:space="preserve">Ensuring learning continuity in the context of COVID-19 pandemic: transition from primary to secondary education in Zambeze Province </w:t>
            </w:r>
          </w:p>
        </w:tc>
        <w:tc>
          <w:tcPr>
            <w:tcW w:w="1170" w:type="dxa"/>
            <w:tcBorders>
              <w:top w:val="nil"/>
              <w:left w:val="nil"/>
              <w:bottom w:val="single" w:sz="4" w:space="0" w:color="auto"/>
              <w:right w:val="single" w:sz="4" w:space="0" w:color="auto"/>
            </w:tcBorders>
            <w:shd w:val="clear" w:color="auto" w:fill="auto"/>
            <w:noWrap/>
            <w:vAlign w:val="bottom"/>
            <w:hideMark/>
          </w:tcPr>
          <w:p w14:paraId="05095AE5"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UNICEF</w:t>
            </w:r>
          </w:p>
        </w:tc>
        <w:tc>
          <w:tcPr>
            <w:tcW w:w="1170" w:type="dxa"/>
            <w:tcBorders>
              <w:top w:val="nil"/>
              <w:left w:val="nil"/>
              <w:bottom w:val="single" w:sz="4" w:space="0" w:color="auto"/>
              <w:right w:val="single" w:sz="4" w:space="0" w:color="auto"/>
            </w:tcBorders>
            <w:shd w:val="clear" w:color="auto" w:fill="auto"/>
            <w:noWrap/>
            <w:vAlign w:val="bottom"/>
            <w:hideMark/>
          </w:tcPr>
          <w:p w14:paraId="52F0AB0D"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UNESCO</w:t>
            </w:r>
          </w:p>
        </w:tc>
        <w:tc>
          <w:tcPr>
            <w:tcW w:w="4140" w:type="dxa"/>
            <w:tcBorders>
              <w:top w:val="nil"/>
              <w:left w:val="nil"/>
              <w:bottom w:val="single" w:sz="4" w:space="0" w:color="auto"/>
              <w:right w:val="single" w:sz="4" w:space="0" w:color="auto"/>
            </w:tcBorders>
            <w:shd w:val="clear" w:color="auto" w:fill="auto"/>
            <w:vAlign w:val="bottom"/>
            <w:hideMark/>
          </w:tcPr>
          <w:p w14:paraId="75DF03D6"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 </w:t>
            </w:r>
          </w:p>
        </w:tc>
        <w:tc>
          <w:tcPr>
            <w:tcW w:w="2168" w:type="dxa"/>
            <w:tcBorders>
              <w:top w:val="nil"/>
              <w:left w:val="nil"/>
              <w:bottom w:val="single" w:sz="4" w:space="0" w:color="auto"/>
              <w:right w:val="single" w:sz="4" w:space="0" w:color="auto"/>
            </w:tcBorders>
            <w:shd w:val="clear" w:color="auto" w:fill="auto"/>
            <w:noWrap/>
            <w:vAlign w:val="center"/>
            <w:hideMark/>
          </w:tcPr>
          <w:p w14:paraId="07A31B16"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 xml:space="preserve">$150,000 </w:t>
            </w:r>
          </w:p>
        </w:tc>
      </w:tr>
      <w:tr w:rsidR="007626F3" w:rsidRPr="00F22F32" w14:paraId="6B52FDDD" w14:textId="77777777" w:rsidTr="006D150A">
        <w:trPr>
          <w:trHeight w:val="620"/>
        </w:trPr>
        <w:tc>
          <w:tcPr>
            <w:tcW w:w="1514" w:type="dxa"/>
            <w:tcBorders>
              <w:top w:val="nil"/>
              <w:left w:val="single" w:sz="4" w:space="0" w:color="auto"/>
              <w:bottom w:val="single" w:sz="4" w:space="0" w:color="auto"/>
              <w:right w:val="single" w:sz="4" w:space="0" w:color="auto"/>
            </w:tcBorders>
            <w:shd w:val="clear" w:color="auto" w:fill="auto"/>
            <w:noWrap/>
            <w:vAlign w:val="bottom"/>
            <w:hideMark/>
          </w:tcPr>
          <w:p w14:paraId="5FDB96D9"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Education</w:t>
            </w:r>
          </w:p>
        </w:tc>
        <w:tc>
          <w:tcPr>
            <w:tcW w:w="3161" w:type="dxa"/>
            <w:tcBorders>
              <w:top w:val="nil"/>
              <w:left w:val="nil"/>
              <w:bottom w:val="single" w:sz="4" w:space="0" w:color="auto"/>
              <w:right w:val="single" w:sz="4" w:space="0" w:color="auto"/>
            </w:tcBorders>
            <w:shd w:val="clear" w:color="auto" w:fill="auto"/>
            <w:vAlign w:val="center"/>
            <w:hideMark/>
          </w:tcPr>
          <w:p w14:paraId="0636F69A" w14:textId="66018692"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Capacity Building on School Infrastructures Reconstruction with BBB</w:t>
            </w:r>
            <w:r w:rsidR="001D5142" w:rsidRPr="00F22F32">
              <w:rPr>
                <w:rFonts w:ascii="Calibri" w:eastAsia="Times New Roman" w:hAnsi="Calibri" w:cs="Calibri"/>
                <w:sz w:val="18"/>
                <w:szCs w:val="18"/>
              </w:rPr>
              <w:t xml:space="preserve"> </w:t>
            </w:r>
            <w:r w:rsidRPr="00F22F32">
              <w:rPr>
                <w:rFonts w:ascii="Calibri" w:eastAsia="Times New Roman" w:hAnsi="Calibri" w:cs="Calibri"/>
                <w:sz w:val="18"/>
                <w:szCs w:val="18"/>
              </w:rPr>
              <w:t>Approach in areas affected by cyclones Idai &amp; Kenneth</w:t>
            </w:r>
          </w:p>
        </w:tc>
        <w:tc>
          <w:tcPr>
            <w:tcW w:w="1170" w:type="dxa"/>
            <w:tcBorders>
              <w:top w:val="nil"/>
              <w:left w:val="nil"/>
              <w:bottom w:val="single" w:sz="4" w:space="0" w:color="auto"/>
              <w:right w:val="single" w:sz="4" w:space="0" w:color="auto"/>
            </w:tcBorders>
            <w:shd w:val="clear" w:color="auto" w:fill="auto"/>
            <w:noWrap/>
            <w:vAlign w:val="bottom"/>
            <w:hideMark/>
          </w:tcPr>
          <w:p w14:paraId="059F176A"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UNICEF</w:t>
            </w:r>
          </w:p>
        </w:tc>
        <w:tc>
          <w:tcPr>
            <w:tcW w:w="1170" w:type="dxa"/>
            <w:tcBorders>
              <w:top w:val="nil"/>
              <w:left w:val="nil"/>
              <w:bottom w:val="single" w:sz="4" w:space="0" w:color="auto"/>
              <w:right w:val="single" w:sz="4" w:space="0" w:color="auto"/>
            </w:tcBorders>
            <w:shd w:val="clear" w:color="auto" w:fill="auto"/>
            <w:noWrap/>
            <w:vAlign w:val="bottom"/>
            <w:hideMark/>
          </w:tcPr>
          <w:p w14:paraId="4351EA17"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UN Habitat</w:t>
            </w:r>
          </w:p>
        </w:tc>
        <w:tc>
          <w:tcPr>
            <w:tcW w:w="4140" w:type="dxa"/>
            <w:tcBorders>
              <w:top w:val="nil"/>
              <w:left w:val="nil"/>
              <w:bottom w:val="single" w:sz="4" w:space="0" w:color="auto"/>
              <w:right w:val="single" w:sz="4" w:space="0" w:color="auto"/>
            </w:tcBorders>
            <w:shd w:val="clear" w:color="auto" w:fill="auto"/>
            <w:vAlign w:val="bottom"/>
            <w:hideMark/>
          </w:tcPr>
          <w:p w14:paraId="388E511E"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 </w:t>
            </w:r>
          </w:p>
        </w:tc>
        <w:tc>
          <w:tcPr>
            <w:tcW w:w="2168" w:type="dxa"/>
            <w:tcBorders>
              <w:top w:val="nil"/>
              <w:left w:val="nil"/>
              <w:bottom w:val="single" w:sz="4" w:space="0" w:color="auto"/>
              <w:right w:val="single" w:sz="4" w:space="0" w:color="auto"/>
            </w:tcBorders>
            <w:shd w:val="clear" w:color="auto" w:fill="auto"/>
            <w:noWrap/>
            <w:vAlign w:val="center"/>
            <w:hideMark/>
          </w:tcPr>
          <w:p w14:paraId="46CAC0CB" w14:textId="77777777" w:rsidR="007626F3" w:rsidRPr="00F22F32" w:rsidRDefault="007626F3" w:rsidP="006D150A">
            <w:pPr>
              <w:rPr>
                <w:rFonts w:ascii="Calibri" w:eastAsia="Times New Roman" w:hAnsi="Calibri" w:cs="Calibri"/>
                <w:sz w:val="18"/>
                <w:szCs w:val="18"/>
              </w:rPr>
            </w:pPr>
            <w:r w:rsidRPr="00F22F32">
              <w:rPr>
                <w:rFonts w:ascii="Calibri" w:eastAsia="Times New Roman" w:hAnsi="Calibri" w:cs="Calibri"/>
                <w:sz w:val="18"/>
                <w:szCs w:val="18"/>
              </w:rPr>
              <w:t xml:space="preserve">$300,000 </w:t>
            </w:r>
          </w:p>
        </w:tc>
      </w:tr>
    </w:tbl>
    <w:p w14:paraId="36CBF874" w14:textId="77777777" w:rsidR="007626F3" w:rsidRPr="00F22F32" w:rsidRDefault="007626F3" w:rsidP="003D0A9C">
      <w:pPr>
        <w:rPr>
          <w:lang w:bidi="ar-SA"/>
        </w:rPr>
      </w:pPr>
    </w:p>
    <w:sectPr w:rsidR="007626F3" w:rsidRPr="00F22F32" w:rsidSect="007626F3">
      <w:pgSz w:w="15840" w:h="12240" w:orient="landscape"/>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9D8869" w14:textId="77777777" w:rsidR="004D52A2" w:rsidRDefault="004D52A2" w:rsidP="00C93719">
      <w:r>
        <w:separator/>
      </w:r>
    </w:p>
  </w:endnote>
  <w:endnote w:type="continuationSeparator" w:id="0">
    <w:p w14:paraId="016639C5" w14:textId="77777777" w:rsidR="004D52A2" w:rsidRDefault="004D52A2" w:rsidP="00C93719">
      <w:r>
        <w:continuationSeparator/>
      </w:r>
    </w:p>
  </w:endnote>
  <w:endnote w:type="continuationNotice" w:id="1">
    <w:p w14:paraId="55725655" w14:textId="77777777" w:rsidR="004D52A2" w:rsidRDefault="004D52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45501411"/>
      <w:docPartObj>
        <w:docPartGallery w:val="Page Numbers (Bottom of Page)"/>
        <w:docPartUnique/>
      </w:docPartObj>
    </w:sdtPr>
    <w:sdtEndPr>
      <w:rPr>
        <w:noProof/>
        <w:sz w:val="18"/>
        <w:szCs w:val="18"/>
      </w:rPr>
    </w:sdtEndPr>
    <w:sdtContent>
      <w:p w14:paraId="21A035AD" w14:textId="6D1C7B33" w:rsidR="00822BB4" w:rsidRPr="009032B1" w:rsidRDefault="00822BB4">
        <w:pPr>
          <w:pStyle w:val="Footer"/>
          <w:jc w:val="right"/>
          <w:rPr>
            <w:sz w:val="18"/>
            <w:szCs w:val="18"/>
          </w:rPr>
        </w:pPr>
        <w:r w:rsidRPr="009032B1">
          <w:rPr>
            <w:sz w:val="18"/>
            <w:szCs w:val="18"/>
          </w:rPr>
          <w:fldChar w:fldCharType="begin"/>
        </w:r>
        <w:r w:rsidRPr="009032B1">
          <w:rPr>
            <w:sz w:val="18"/>
            <w:szCs w:val="18"/>
          </w:rPr>
          <w:instrText xml:space="preserve"> PAGE   \* MERGEFORMAT </w:instrText>
        </w:r>
        <w:r w:rsidRPr="009032B1">
          <w:rPr>
            <w:sz w:val="18"/>
            <w:szCs w:val="18"/>
          </w:rPr>
          <w:fldChar w:fldCharType="separate"/>
        </w:r>
        <w:r w:rsidRPr="009032B1">
          <w:rPr>
            <w:noProof/>
            <w:sz w:val="18"/>
            <w:szCs w:val="18"/>
          </w:rPr>
          <w:t>2</w:t>
        </w:r>
        <w:r w:rsidRPr="009032B1">
          <w:rPr>
            <w:noProof/>
            <w:sz w:val="18"/>
            <w:szCs w:val="18"/>
          </w:rPr>
          <w:fldChar w:fldCharType="end"/>
        </w:r>
      </w:p>
    </w:sdtContent>
  </w:sdt>
  <w:p w14:paraId="0F3D16CF" w14:textId="77777777" w:rsidR="00822BB4" w:rsidRDefault="00822B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0AE3E3" w14:textId="77777777" w:rsidR="004D52A2" w:rsidRDefault="004D52A2" w:rsidP="00C93719">
      <w:r>
        <w:separator/>
      </w:r>
    </w:p>
  </w:footnote>
  <w:footnote w:type="continuationSeparator" w:id="0">
    <w:p w14:paraId="306C5283" w14:textId="77777777" w:rsidR="004D52A2" w:rsidRDefault="004D52A2" w:rsidP="00C93719">
      <w:r>
        <w:continuationSeparator/>
      </w:r>
    </w:p>
  </w:footnote>
  <w:footnote w:type="continuationNotice" w:id="1">
    <w:p w14:paraId="72133207" w14:textId="77777777" w:rsidR="004D52A2" w:rsidRDefault="004D52A2"/>
  </w:footnote>
  <w:footnote w:id="2">
    <w:p w14:paraId="1F29B700" w14:textId="77777777" w:rsidR="00822BB4" w:rsidRPr="00D27540" w:rsidRDefault="00822BB4" w:rsidP="00AE6F94">
      <w:pPr>
        <w:pStyle w:val="FootnoteText"/>
        <w:rPr>
          <w:rFonts w:asciiTheme="majorHAnsi" w:hAnsiTheme="majorHAnsi" w:cstheme="majorHAnsi"/>
          <w:sz w:val="15"/>
          <w:szCs w:val="15"/>
        </w:rPr>
      </w:pPr>
      <w:r w:rsidRPr="00D27540">
        <w:rPr>
          <w:rStyle w:val="FootnoteReference"/>
          <w:sz w:val="15"/>
          <w:szCs w:val="15"/>
        </w:rPr>
        <w:footnoteRef/>
      </w:r>
      <w:r w:rsidRPr="00D27540">
        <w:rPr>
          <w:sz w:val="15"/>
          <w:szCs w:val="15"/>
        </w:rPr>
        <w:t xml:space="preserve"> </w:t>
      </w:r>
      <w:r w:rsidRPr="00D27540">
        <w:rPr>
          <w:rFonts w:asciiTheme="majorHAnsi" w:hAnsiTheme="majorHAnsi" w:cstheme="majorHAnsi"/>
          <w:sz w:val="15"/>
          <w:szCs w:val="15"/>
        </w:rPr>
        <w:t>Specific examples include the establishment of commercial agreements between farmer association and large buyers; nutrition behavior change interventions; food security and vulnerability assessments and IPC analysis of data; analysis of food commodities price incentives; studies on post-harvest losses; and development plans to establish a Food Security and nutrition information system.</w:t>
      </w:r>
    </w:p>
  </w:footnote>
  <w:footnote w:id="3">
    <w:p w14:paraId="1E5E2B68" w14:textId="77777777" w:rsidR="00822BB4" w:rsidRPr="00D27540" w:rsidRDefault="00822BB4" w:rsidP="00AE6F94">
      <w:pPr>
        <w:pStyle w:val="FootnoteText"/>
        <w:rPr>
          <w:rFonts w:asciiTheme="majorHAnsi" w:hAnsiTheme="majorHAnsi" w:cstheme="majorHAnsi"/>
          <w:sz w:val="15"/>
          <w:szCs w:val="15"/>
        </w:rPr>
      </w:pPr>
      <w:r w:rsidRPr="00D27540">
        <w:rPr>
          <w:rStyle w:val="FootnoteReference"/>
          <w:rFonts w:asciiTheme="majorHAnsi" w:hAnsiTheme="majorHAnsi" w:cstheme="majorHAnsi"/>
          <w:sz w:val="15"/>
          <w:szCs w:val="15"/>
        </w:rPr>
        <w:footnoteRef/>
      </w:r>
      <w:r w:rsidRPr="00D27540">
        <w:rPr>
          <w:rFonts w:asciiTheme="majorHAnsi" w:hAnsiTheme="majorHAnsi" w:cstheme="majorHAnsi"/>
          <w:sz w:val="15"/>
          <w:szCs w:val="15"/>
        </w:rPr>
        <w:t xml:space="preserve"> Specific examples include improved knowledge, attitudes and practices on crop production, seed multiplication, post-harvest handling, marketing nutrition, health and hygiene; increased capacity to reduce post-harvest losses and strengthen market linages, establishment of community seed banks; and rehabilitation of public infrastructure. Furthermore, there were improvements in capacity to adequately monitor and control agricultural and livestock pests and diseases across all levels, as well as strengthen links between farmers and markets.</w:t>
      </w:r>
    </w:p>
  </w:footnote>
  <w:footnote w:id="4">
    <w:p w14:paraId="777037B3" w14:textId="77777777" w:rsidR="00822BB4" w:rsidRPr="00D27540" w:rsidRDefault="00822BB4" w:rsidP="000F5C65">
      <w:pPr>
        <w:pStyle w:val="FootnoteText"/>
        <w:rPr>
          <w:rFonts w:asciiTheme="majorHAnsi" w:hAnsiTheme="majorHAnsi" w:cstheme="majorHAnsi"/>
          <w:sz w:val="15"/>
          <w:szCs w:val="15"/>
        </w:rPr>
      </w:pPr>
      <w:r w:rsidRPr="00D27540">
        <w:rPr>
          <w:rStyle w:val="FootnoteReference"/>
          <w:rFonts w:asciiTheme="majorHAnsi" w:hAnsiTheme="majorHAnsi" w:cstheme="majorHAnsi"/>
          <w:sz w:val="15"/>
          <w:szCs w:val="15"/>
        </w:rPr>
        <w:footnoteRef/>
      </w:r>
      <w:r w:rsidRPr="00D27540">
        <w:rPr>
          <w:rFonts w:asciiTheme="majorHAnsi" w:hAnsiTheme="majorHAnsi" w:cstheme="majorHAnsi"/>
          <w:sz w:val="15"/>
          <w:szCs w:val="15"/>
        </w:rPr>
        <w:t xml:space="preserve"> Specific examples include the National Employment Policy (NEP); strengthen the government’s capacity pertinent to improving inter-ministerial and tripartite coordination, information sharing, and effective discussions on pro-employment sectoral policies and supported MITSS on the development of Pro-Employment Budgeting analysis.</w:t>
      </w:r>
    </w:p>
  </w:footnote>
  <w:footnote w:id="5">
    <w:p w14:paraId="2715C4CA" w14:textId="77777777" w:rsidR="00822BB4" w:rsidRPr="00D27540" w:rsidRDefault="00822BB4" w:rsidP="000F5C65">
      <w:pPr>
        <w:pStyle w:val="FootnoteText"/>
        <w:rPr>
          <w:rFonts w:asciiTheme="majorHAnsi" w:hAnsiTheme="majorHAnsi" w:cstheme="majorHAnsi"/>
          <w:sz w:val="15"/>
          <w:szCs w:val="15"/>
        </w:rPr>
      </w:pPr>
      <w:r w:rsidRPr="00D27540">
        <w:rPr>
          <w:rStyle w:val="FootnoteReference"/>
          <w:rFonts w:asciiTheme="majorHAnsi" w:hAnsiTheme="majorHAnsi" w:cstheme="majorHAnsi"/>
          <w:sz w:val="15"/>
          <w:szCs w:val="15"/>
        </w:rPr>
        <w:footnoteRef/>
      </w:r>
      <w:r w:rsidRPr="00D27540">
        <w:rPr>
          <w:rFonts w:asciiTheme="majorHAnsi" w:hAnsiTheme="majorHAnsi" w:cstheme="majorHAnsi"/>
          <w:sz w:val="15"/>
          <w:szCs w:val="15"/>
        </w:rPr>
        <w:t xml:space="preserve"> These include the signing of partnerships with financial and business development service providers, to train and provide financial services to COVID-19 affected SMEs and to promote market linkages; and strengthen the competitiveness of the export sector, to the SADC and EU markets.</w:t>
      </w:r>
    </w:p>
  </w:footnote>
  <w:footnote w:id="6">
    <w:p w14:paraId="092B4F7B" w14:textId="77777777" w:rsidR="00822BB4" w:rsidRPr="00D27540" w:rsidRDefault="00822BB4" w:rsidP="000F5C65">
      <w:pPr>
        <w:pStyle w:val="FootnoteText"/>
        <w:rPr>
          <w:rFonts w:asciiTheme="majorHAnsi" w:hAnsiTheme="majorHAnsi" w:cstheme="majorHAnsi"/>
          <w:sz w:val="15"/>
          <w:szCs w:val="15"/>
        </w:rPr>
      </w:pPr>
      <w:r w:rsidRPr="00D27540">
        <w:rPr>
          <w:rStyle w:val="FootnoteReference"/>
          <w:rFonts w:asciiTheme="majorHAnsi" w:hAnsiTheme="majorHAnsi" w:cstheme="majorHAnsi"/>
          <w:sz w:val="15"/>
          <w:szCs w:val="15"/>
        </w:rPr>
        <w:footnoteRef/>
      </w:r>
      <w:r w:rsidRPr="00D27540">
        <w:rPr>
          <w:rFonts w:asciiTheme="majorHAnsi" w:hAnsiTheme="majorHAnsi" w:cstheme="majorHAnsi"/>
          <w:sz w:val="15"/>
          <w:szCs w:val="15"/>
        </w:rPr>
        <w:t xml:space="preserve"> These include a policy note compiled, on Pro-Employment Policy for post COVID-19 recovery and two technical notes on potential post COVID-19 employment policy reforms. he UN updated the assessment of INNOQ capacity in key Quality Infrastructure areas that are critical for supporting trade, and a baseline study focused on the challenges and opportunities for SMEs and Business Development Services (BDS).</w:t>
      </w:r>
    </w:p>
  </w:footnote>
  <w:footnote w:id="7">
    <w:p w14:paraId="5D94C9D8" w14:textId="77777777" w:rsidR="00822BB4" w:rsidRPr="008D1037" w:rsidRDefault="00822BB4" w:rsidP="000F5C65">
      <w:pPr>
        <w:pStyle w:val="FootnoteText"/>
        <w:rPr>
          <w:sz w:val="16"/>
          <w:szCs w:val="16"/>
        </w:rPr>
      </w:pPr>
      <w:r w:rsidRPr="00D27540">
        <w:rPr>
          <w:rStyle w:val="FootnoteReference"/>
          <w:rFonts w:asciiTheme="majorHAnsi" w:hAnsiTheme="majorHAnsi" w:cstheme="majorHAnsi"/>
          <w:sz w:val="15"/>
          <w:szCs w:val="15"/>
        </w:rPr>
        <w:footnoteRef/>
      </w:r>
      <w:r w:rsidRPr="00D27540">
        <w:rPr>
          <w:rFonts w:asciiTheme="majorHAnsi" w:hAnsiTheme="majorHAnsi" w:cstheme="majorHAnsi"/>
          <w:sz w:val="15"/>
          <w:szCs w:val="15"/>
        </w:rPr>
        <w:t xml:space="preserve"> Support to develop and coordinate the implementation of an employment projection model through the course “Stata for Labor Market Analysis” to technical officers from various ministries. DNOMT benefited from assistance to develop new applications and modules for the Labor Market Information Systems (LMIS) to process and analyze labor market data. The UN also provided support to upgrade INEP’s Employment Portal.</w:t>
      </w:r>
    </w:p>
  </w:footnote>
  <w:footnote w:id="8">
    <w:p w14:paraId="71D1DC54" w14:textId="77777777" w:rsidR="00822BB4" w:rsidRPr="00D27540" w:rsidRDefault="00822BB4" w:rsidP="00595099">
      <w:pPr>
        <w:jc w:val="both"/>
        <w:rPr>
          <w:rFonts w:asciiTheme="majorHAnsi" w:eastAsia="Times New Roman" w:hAnsiTheme="majorHAnsi" w:cstheme="majorHAnsi"/>
          <w:sz w:val="15"/>
          <w:szCs w:val="15"/>
        </w:rPr>
      </w:pPr>
      <w:r w:rsidRPr="00D27540">
        <w:rPr>
          <w:rStyle w:val="FootnoteReference"/>
          <w:rFonts w:asciiTheme="majorHAnsi" w:hAnsiTheme="majorHAnsi" w:cstheme="majorHAnsi"/>
          <w:sz w:val="15"/>
          <w:szCs w:val="15"/>
        </w:rPr>
        <w:footnoteRef/>
      </w:r>
      <w:r w:rsidRPr="00D27540">
        <w:rPr>
          <w:rFonts w:asciiTheme="majorHAnsi" w:hAnsiTheme="majorHAnsi" w:cstheme="majorHAnsi"/>
          <w:sz w:val="15"/>
          <w:szCs w:val="15"/>
        </w:rPr>
        <w:t xml:space="preserve"> </w:t>
      </w:r>
      <w:r w:rsidRPr="00D27540">
        <w:rPr>
          <w:rFonts w:asciiTheme="majorHAnsi" w:eastAsia="Times New Roman" w:hAnsiTheme="majorHAnsi" w:cstheme="majorHAnsi"/>
          <w:sz w:val="15"/>
          <w:szCs w:val="15"/>
        </w:rPr>
        <w:t xml:space="preserve">This new policy is a multi-sectorial tool, which builds upon existing mechanism in schools and communities, and takes advantage of the work being done by government and non-government actors to address issues of violence in schools. </w:t>
      </w:r>
    </w:p>
  </w:footnote>
  <w:footnote w:id="9">
    <w:p w14:paraId="63D2CAAB" w14:textId="77777777" w:rsidR="00822BB4" w:rsidRPr="00D27540" w:rsidRDefault="00822BB4" w:rsidP="0078451D">
      <w:pPr>
        <w:jc w:val="both"/>
        <w:rPr>
          <w:rFonts w:asciiTheme="majorHAnsi" w:eastAsia="Calibri" w:hAnsiTheme="majorHAnsi" w:cstheme="majorHAnsi"/>
          <w:iCs/>
          <w:sz w:val="15"/>
          <w:szCs w:val="15"/>
        </w:rPr>
      </w:pPr>
      <w:r w:rsidRPr="00D27540">
        <w:rPr>
          <w:rStyle w:val="FootnoteReference"/>
          <w:rFonts w:asciiTheme="majorHAnsi" w:hAnsiTheme="majorHAnsi" w:cstheme="majorHAnsi"/>
          <w:sz w:val="15"/>
          <w:szCs w:val="15"/>
        </w:rPr>
        <w:footnoteRef/>
      </w:r>
      <w:r w:rsidRPr="00D27540">
        <w:rPr>
          <w:rFonts w:asciiTheme="majorHAnsi" w:hAnsiTheme="majorHAnsi" w:cstheme="majorHAnsi"/>
          <w:sz w:val="15"/>
          <w:szCs w:val="15"/>
        </w:rPr>
        <w:t xml:space="preserve"> </w:t>
      </w:r>
      <w:r w:rsidRPr="00D27540">
        <w:rPr>
          <w:rFonts w:asciiTheme="majorHAnsi" w:eastAsia="Calibri" w:hAnsiTheme="majorHAnsi" w:cstheme="majorHAnsi"/>
          <w:iCs/>
          <w:sz w:val="15"/>
          <w:szCs w:val="15"/>
        </w:rPr>
        <w:t xml:space="preserve">Activities include: mobilization interventions directed at boys and girls to increase knowledge on discriminatory socio-cultural practices against women; provincial community leaders forums to discuss their role on preventing discriminatory practices; community radios disseminating messages to prevent and fight gender-based violence, using gender transformative approaches. </w:t>
      </w:r>
    </w:p>
  </w:footnote>
  <w:footnote w:id="10">
    <w:p w14:paraId="28B5F4B0" w14:textId="77777777" w:rsidR="00822BB4" w:rsidRPr="00BA2B34" w:rsidRDefault="00822BB4" w:rsidP="0078451D">
      <w:pPr>
        <w:jc w:val="both"/>
        <w:rPr>
          <w:rFonts w:asciiTheme="majorHAnsi" w:eastAsia="Calibri" w:hAnsiTheme="majorHAnsi" w:cstheme="majorHAnsi"/>
          <w:iCs/>
          <w:sz w:val="16"/>
          <w:szCs w:val="16"/>
        </w:rPr>
      </w:pPr>
      <w:r w:rsidRPr="00D27540">
        <w:rPr>
          <w:rStyle w:val="FootnoteReference"/>
          <w:rFonts w:asciiTheme="majorHAnsi" w:hAnsiTheme="majorHAnsi" w:cstheme="majorHAnsi"/>
          <w:sz w:val="15"/>
          <w:szCs w:val="15"/>
        </w:rPr>
        <w:footnoteRef/>
      </w:r>
      <w:r w:rsidRPr="00D27540">
        <w:rPr>
          <w:rFonts w:asciiTheme="majorHAnsi" w:hAnsiTheme="majorHAnsi" w:cstheme="majorHAnsi"/>
          <w:sz w:val="15"/>
          <w:szCs w:val="15"/>
        </w:rPr>
        <w:t xml:space="preserve"> </w:t>
      </w:r>
      <w:r w:rsidRPr="00D27540">
        <w:rPr>
          <w:rFonts w:asciiTheme="majorHAnsi" w:eastAsia="Calibri" w:hAnsiTheme="majorHAnsi" w:cstheme="majorHAnsi"/>
          <w:iCs/>
          <w:sz w:val="15"/>
          <w:szCs w:val="15"/>
        </w:rPr>
        <w:t>Community leaders increased their knowledge and reinforced their commitment to prevent and combat GBV which resulted in the rescue of 15 girls from early union and the establishment of platforms of these key allies against GBV in 3 provinces. Additionally, community members including traditional and religious leaders, matrons (</w:t>
      </w:r>
      <w:r w:rsidRPr="00D27540">
        <w:rPr>
          <w:rFonts w:asciiTheme="majorHAnsi" w:eastAsia="Calibri" w:hAnsiTheme="majorHAnsi" w:cstheme="majorHAnsi"/>
          <w:i/>
          <w:sz w:val="15"/>
          <w:szCs w:val="15"/>
        </w:rPr>
        <w:t>Mães da Comunidade</w:t>
      </w:r>
      <w:r w:rsidRPr="00D27540">
        <w:rPr>
          <w:rFonts w:asciiTheme="majorHAnsi" w:eastAsia="Calibri" w:hAnsiTheme="majorHAnsi" w:cstheme="majorHAnsi"/>
          <w:iCs/>
          <w:sz w:val="15"/>
          <w:szCs w:val="15"/>
        </w:rPr>
        <w:t>), fathers and local musicians identified ways to work collectively to contribute to the implementation of the existing mechanisms to prevent and respond to cases of GBV.</w:t>
      </w:r>
    </w:p>
  </w:footnote>
  <w:footnote w:id="11">
    <w:p w14:paraId="07F40321" w14:textId="77777777" w:rsidR="00822BB4" w:rsidRPr="00D27540" w:rsidRDefault="00822BB4" w:rsidP="00650E6F">
      <w:pPr>
        <w:pStyle w:val="FootnoteText"/>
        <w:rPr>
          <w:rFonts w:asciiTheme="majorHAnsi" w:hAnsiTheme="majorHAnsi" w:cstheme="majorHAnsi"/>
          <w:sz w:val="15"/>
          <w:szCs w:val="15"/>
        </w:rPr>
      </w:pPr>
      <w:r w:rsidRPr="00D27540">
        <w:rPr>
          <w:rStyle w:val="FootnoteReference"/>
          <w:rFonts w:asciiTheme="majorHAnsi" w:hAnsiTheme="majorHAnsi" w:cstheme="majorHAnsi"/>
          <w:sz w:val="15"/>
          <w:szCs w:val="15"/>
        </w:rPr>
        <w:footnoteRef/>
      </w:r>
      <w:r w:rsidRPr="00D27540">
        <w:rPr>
          <w:rFonts w:asciiTheme="majorHAnsi" w:hAnsiTheme="majorHAnsi" w:cstheme="majorHAnsi"/>
          <w:sz w:val="15"/>
          <w:szCs w:val="15"/>
        </w:rPr>
        <w:t xml:space="preserve"> Activities include financial support to purchase and deliver contraceptives; provision of counselling to women and girls to increase their awareness of family planning and provision of mobile brigades delivered sexual and reproductive health care in Tete provinces; support to maternal and child health nurses to complete their training and training of health professionals in obstetric fistula repair. The UN provided equipped mobile health units for woman and girls to receive sexual and reproductive health and gender-based violence services and pre-packaged reproductive health kits and supported MISAU to conduct 2 rounds of Oral Cholera Vaccination following cholera outbreaks.</w:t>
      </w:r>
    </w:p>
  </w:footnote>
  <w:footnote w:id="12">
    <w:p w14:paraId="3728B6C5" w14:textId="77777777" w:rsidR="00822BB4" w:rsidRPr="00D27540" w:rsidRDefault="00822BB4" w:rsidP="00650E6F">
      <w:pPr>
        <w:pStyle w:val="FootnoteText"/>
        <w:rPr>
          <w:rFonts w:asciiTheme="majorHAnsi" w:hAnsiTheme="majorHAnsi" w:cstheme="majorHAnsi"/>
          <w:sz w:val="15"/>
          <w:szCs w:val="15"/>
        </w:rPr>
      </w:pPr>
      <w:r w:rsidRPr="00D27540">
        <w:rPr>
          <w:rStyle w:val="FootnoteReference"/>
          <w:rFonts w:asciiTheme="majorHAnsi" w:hAnsiTheme="majorHAnsi" w:cstheme="majorHAnsi"/>
          <w:sz w:val="15"/>
          <w:szCs w:val="15"/>
        </w:rPr>
        <w:footnoteRef/>
      </w:r>
      <w:r w:rsidRPr="00D27540">
        <w:rPr>
          <w:rFonts w:asciiTheme="majorHAnsi" w:hAnsiTheme="majorHAnsi" w:cstheme="majorHAnsi"/>
          <w:sz w:val="15"/>
          <w:szCs w:val="15"/>
        </w:rPr>
        <w:t xml:space="preserve"> Support was provided to new approaches to treat severe acute malnutrition including community case management and mid-upper arm circumference (MUAC)-only admissions</w:t>
      </w:r>
    </w:p>
  </w:footnote>
  <w:footnote w:id="13">
    <w:p w14:paraId="2FF87CBB" w14:textId="77777777" w:rsidR="00822BB4" w:rsidRPr="00D27540" w:rsidRDefault="00822BB4" w:rsidP="00650E6F">
      <w:pPr>
        <w:pStyle w:val="FootnoteText"/>
        <w:rPr>
          <w:sz w:val="15"/>
          <w:szCs w:val="15"/>
        </w:rPr>
      </w:pPr>
      <w:r w:rsidRPr="00D27540">
        <w:rPr>
          <w:rStyle w:val="FootnoteReference"/>
          <w:rFonts w:asciiTheme="majorHAnsi" w:hAnsiTheme="majorHAnsi" w:cstheme="majorHAnsi"/>
          <w:sz w:val="15"/>
          <w:szCs w:val="15"/>
        </w:rPr>
        <w:footnoteRef/>
      </w:r>
      <w:r w:rsidRPr="00D27540">
        <w:rPr>
          <w:rFonts w:asciiTheme="majorHAnsi" w:hAnsiTheme="majorHAnsi" w:cstheme="majorHAnsi"/>
          <w:sz w:val="15"/>
          <w:szCs w:val="15"/>
        </w:rPr>
        <w:t xml:space="preserve"> implement a rapid assessment of the impact of COVID-19 on PLHIV, provision of technical and catalytic funding to PLHIV organizations to train activists to ensure continuity of HIV services for ART for patients and distribution of hygiene kits and cloth face masks distributed to ensure continuum of care </w:t>
      </w:r>
      <w:r w:rsidRPr="00D27540">
        <w:rPr>
          <w:rFonts w:asciiTheme="majorHAnsi" w:eastAsiaTheme="minorHAnsi" w:hAnsiTheme="majorHAnsi" w:cstheme="majorHAnsi"/>
          <w:sz w:val="15"/>
          <w:szCs w:val="15"/>
        </w:rPr>
        <w:t xml:space="preserve">and </w:t>
      </w:r>
      <w:r w:rsidRPr="00D27540">
        <w:rPr>
          <w:rFonts w:asciiTheme="majorHAnsi" w:hAnsiTheme="majorHAnsi" w:cstheme="majorHAnsi"/>
          <w:sz w:val="15"/>
          <w:szCs w:val="15"/>
        </w:rPr>
        <w:t>distribution of food baskets in Maputo and Matola cities to support PLHIV with unique vulnerabilities.</w:t>
      </w:r>
    </w:p>
  </w:footnote>
  <w:footnote w:id="14">
    <w:p w14:paraId="3EAAE71F" w14:textId="77777777" w:rsidR="00822BB4" w:rsidRPr="00D27540" w:rsidRDefault="00822BB4" w:rsidP="00EC38BF">
      <w:pPr>
        <w:pStyle w:val="NoSpacing"/>
        <w:jc w:val="both"/>
        <w:rPr>
          <w:rFonts w:asciiTheme="majorHAnsi" w:hAnsiTheme="majorHAnsi" w:cstheme="majorHAnsi"/>
          <w:sz w:val="15"/>
          <w:szCs w:val="15"/>
          <w:lang w:val="en-GB"/>
        </w:rPr>
      </w:pPr>
      <w:r w:rsidRPr="00D27540">
        <w:rPr>
          <w:rStyle w:val="FootnoteReference"/>
          <w:rFonts w:asciiTheme="majorHAnsi" w:hAnsiTheme="majorHAnsi" w:cstheme="majorHAnsi"/>
          <w:sz w:val="15"/>
          <w:szCs w:val="15"/>
        </w:rPr>
        <w:footnoteRef/>
      </w:r>
      <w:r w:rsidRPr="00D27540">
        <w:rPr>
          <w:rFonts w:asciiTheme="majorHAnsi" w:hAnsiTheme="majorHAnsi" w:cstheme="majorHAnsi"/>
          <w:sz w:val="15"/>
          <w:szCs w:val="15"/>
        </w:rPr>
        <w:t xml:space="preserve"> </w:t>
      </w:r>
      <w:r w:rsidRPr="00D27540">
        <w:rPr>
          <w:rFonts w:asciiTheme="majorHAnsi" w:hAnsiTheme="majorHAnsi" w:cstheme="majorHAnsi"/>
          <w:sz w:val="15"/>
          <w:szCs w:val="15"/>
          <w:lang w:val="en-GB"/>
        </w:rPr>
        <w:t xml:space="preserve">The UN Supported the country policy to fight stigma and discrimination in the workplace and the Legal Environment Assessment for legislation of HIV/AIDS, as well as the Resolution n.28/2020 of 29th April “HIV and AIDS Strategy in the Public Administration II 2020-2024”, the new Penal Code to reinforce the legal framework to improve the prosecution of cases and perpetrators in cases of sexual violence with HIV and AIDS contamination, and with National AIDS Council (CNCS) for national and local level consultations to develop the “HIV and AIDS Strategic Plan 2020-2025”. </w:t>
      </w:r>
    </w:p>
  </w:footnote>
  <w:footnote w:id="15">
    <w:p w14:paraId="0A0689DC" w14:textId="77777777" w:rsidR="00822BB4" w:rsidRPr="00D27540" w:rsidRDefault="00822BB4" w:rsidP="00A635D3">
      <w:pPr>
        <w:pStyle w:val="FootnoteText"/>
        <w:rPr>
          <w:rFonts w:asciiTheme="majorHAnsi" w:hAnsiTheme="majorHAnsi" w:cstheme="majorHAnsi"/>
          <w:sz w:val="15"/>
          <w:szCs w:val="15"/>
        </w:rPr>
      </w:pPr>
      <w:r w:rsidRPr="00D27540">
        <w:rPr>
          <w:rStyle w:val="FootnoteReference"/>
          <w:rFonts w:asciiTheme="majorHAnsi" w:hAnsiTheme="majorHAnsi" w:cstheme="majorHAnsi"/>
          <w:sz w:val="15"/>
          <w:szCs w:val="15"/>
        </w:rPr>
        <w:footnoteRef/>
      </w:r>
      <w:r w:rsidRPr="00D27540">
        <w:rPr>
          <w:rFonts w:asciiTheme="majorHAnsi" w:hAnsiTheme="majorHAnsi" w:cstheme="majorHAnsi"/>
          <w:sz w:val="15"/>
          <w:szCs w:val="15"/>
        </w:rPr>
        <w:t xml:space="preserve"> Including electoral claims and complaints 2003-2019 with the objective of contributing to the strengthening of the electoral dispute resolution mechanism and judicial response to the electoral reform; analysis of women’s participation in the elections to further enhance their participation through gender mainstreaming and development of a strategy for political and electoral processes; and assessment study of the people with disabilities vis a vis the political and electoral processes, aimed at developing a strategy for their inclusion to the future electoral process.</w:t>
      </w:r>
    </w:p>
  </w:footnote>
  <w:footnote w:id="16">
    <w:p w14:paraId="37E37D36" w14:textId="77777777" w:rsidR="00822BB4" w:rsidRPr="00D27540" w:rsidRDefault="00822BB4" w:rsidP="00A635D3">
      <w:pPr>
        <w:pStyle w:val="FootnoteText"/>
        <w:rPr>
          <w:rFonts w:asciiTheme="majorHAnsi" w:hAnsiTheme="majorHAnsi" w:cstheme="majorHAnsi"/>
          <w:sz w:val="15"/>
          <w:szCs w:val="15"/>
        </w:rPr>
      </w:pPr>
      <w:r w:rsidRPr="00D27540">
        <w:rPr>
          <w:rStyle w:val="FootnoteReference"/>
          <w:rFonts w:asciiTheme="majorHAnsi" w:hAnsiTheme="majorHAnsi" w:cstheme="majorHAnsi"/>
          <w:sz w:val="15"/>
          <w:szCs w:val="15"/>
        </w:rPr>
        <w:footnoteRef/>
      </w:r>
      <w:r w:rsidRPr="00D27540">
        <w:rPr>
          <w:rFonts w:asciiTheme="majorHAnsi" w:hAnsiTheme="majorHAnsi" w:cstheme="majorHAnsi"/>
          <w:sz w:val="15"/>
          <w:szCs w:val="15"/>
        </w:rPr>
        <w:t xml:space="preserve"> As a result CSOs have created a UPR database platform providing a live monitoring tool to effectively monitor and report on a daily basis on the situation of the UPR in the country.</w:t>
      </w:r>
    </w:p>
  </w:footnote>
  <w:footnote w:id="17">
    <w:p w14:paraId="2D47549D" w14:textId="77777777" w:rsidR="00822BB4" w:rsidRDefault="00822BB4" w:rsidP="00A635D3">
      <w:pPr>
        <w:pStyle w:val="FootnoteText"/>
      </w:pPr>
      <w:r w:rsidRPr="00D27540">
        <w:rPr>
          <w:rStyle w:val="FootnoteReference"/>
          <w:rFonts w:asciiTheme="majorHAnsi" w:hAnsiTheme="majorHAnsi" w:cstheme="majorHAnsi"/>
          <w:sz w:val="15"/>
          <w:szCs w:val="15"/>
        </w:rPr>
        <w:footnoteRef/>
      </w:r>
      <w:r w:rsidRPr="00D27540">
        <w:rPr>
          <w:rFonts w:asciiTheme="majorHAnsi" w:hAnsiTheme="majorHAnsi" w:cstheme="majorHAnsi"/>
          <w:sz w:val="15"/>
          <w:szCs w:val="15"/>
        </w:rPr>
        <w:t xml:space="preserve"> </w:t>
      </w:r>
      <w:r w:rsidRPr="00D27540">
        <w:rPr>
          <w:rFonts w:asciiTheme="majorHAnsi" w:hAnsiTheme="majorHAnsi" w:cstheme="majorHAnsi"/>
          <w:bCs/>
          <w:sz w:val="15"/>
          <w:szCs w:val="15"/>
        </w:rPr>
        <w:t>Capacity building of</w:t>
      </w:r>
      <w:r w:rsidRPr="00D27540">
        <w:rPr>
          <w:rFonts w:asciiTheme="majorHAnsi" w:hAnsiTheme="majorHAnsi" w:cstheme="majorHAnsi"/>
          <w:sz w:val="15"/>
          <w:szCs w:val="15"/>
        </w:rPr>
        <w:t xml:space="preserve"> Policewomen of Network of Policewoman, aimed at strengthening their capacity to prevent all forms of GBV including a specific type produced within the framework of conflict, post conflict and early recovery. Further achievements on Peace building include the implementation by the CFJJ of a wide dialogue and advocacy among justice institutions including a seminar among justice institutions, academia, FBOs, CSOs on women and youth building peace and community resilience.</w:t>
      </w:r>
    </w:p>
  </w:footnote>
  <w:footnote w:id="18">
    <w:p w14:paraId="0C089635" w14:textId="77777777" w:rsidR="00822BB4" w:rsidRPr="00F02AB8" w:rsidRDefault="00822BB4" w:rsidP="004D261F">
      <w:pPr>
        <w:pStyle w:val="FootnoteText"/>
        <w:rPr>
          <w:rFonts w:asciiTheme="majorHAnsi" w:hAnsiTheme="majorHAnsi" w:cstheme="majorHAnsi"/>
          <w:sz w:val="15"/>
          <w:szCs w:val="15"/>
        </w:rPr>
      </w:pPr>
      <w:r w:rsidRPr="0095491F">
        <w:rPr>
          <w:rStyle w:val="FootnoteReference"/>
          <w:sz w:val="15"/>
          <w:szCs w:val="15"/>
        </w:rPr>
        <w:footnoteRef/>
      </w:r>
      <w:r w:rsidRPr="0095491F">
        <w:rPr>
          <w:sz w:val="15"/>
          <w:szCs w:val="15"/>
        </w:rPr>
        <w:t xml:space="preserve"> </w:t>
      </w:r>
      <w:r w:rsidRPr="0095491F">
        <w:rPr>
          <w:rFonts w:asciiTheme="majorHAnsi" w:eastAsia="Times New Roman" w:hAnsiTheme="majorHAnsi" w:cstheme="majorHAnsi"/>
          <w:sz w:val="15"/>
          <w:szCs w:val="15"/>
        </w:rPr>
        <w:t>The MTA carried out a workshop for small scale entrepreneurs on the green economy and financing and commercial viability. The National Resources Management authorities gained coordination</w:t>
      </w:r>
      <w:r w:rsidRPr="00F02AB8">
        <w:rPr>
          <w:rFonts w:asciiTheme="majorHAnsi" w:eastAsia="Times New Roman" w:hAnsiTheme="majorHAnsi" w:cstheme="majorHAnsi"/>
          <w:sz w:val="15"/>
          <w:szCs w:val="15"/>
        </w:rPr>
        <w:t xml:space="preserve"> capacity with the establishment of an Anti-Poaching Coordination Center with new patrolling vehicles.</w:t>
      </w:r>
    </w:p>
  </w:footnote>
  <w:footnote w:id="19">
    <w:p w14:paraId="4077329D" w14:textId="77777777" w:rsidR="00822BB4" w:rsidRPr="00F02AB8" w:rsidRDefault="00822BB4" w:rsidP="004D261F">
      <w:pPr>
        <w:jc w:val="both"/>
        <w:rPr>
          <w:rFonts w:asciiTheme="majorHAnsi" w:eastAsia="Times New Roman" w:hAnsiTheme="majorHAnsi" w:cstheme="majorHAnsi"/>
          <w:sz w:val="15"/>
          <w:szCs w:val="15"/>
        </w:rPr>
      </w:pPr>
      <w:r w:rsidRPr="00F02AB8">
        <w:rPr>
          <w:rStyle w:val="FootnoteReference"/>
          <w:rFonts w:asciiTheme="majorHAnsi" w:hAnsiTheme="majorHAnsi" w:cstheme="majorHAnsi"/>
          <w:sz w:val="15"/>
          <w:szCs w:val="15"/>
        </w:rPr>
        <w:footnoteRef/>
      </w:r>
      <w:r w:rsidRPr="00F02AB8">
        <w:rPr>
          <w:rFonts w:asciiTheme="majorHAnsi" w:hAnsiTheme="majorHAnsi" w:cstheme="majorHAnsi"/>
          <w:sz w:val="15"/>
          <w:szCs w:val="15"/>
        </w:rPr>
        <w:t xml:space="preserve"> </w:t>
      </w:r>
      <w:r w:rsidRPr="00F02AB8">
        <w:rPr>
          <w:rFonts w:asciiTheme="majorHAnsi" w:eastAsia="Times New Roman" w:hAnsiTheme="majorHAnsi" w:cstheme="majorHAnsi"/>
          <w:sz w:val="15"/>
          <w:szCs w:val="15"/>
        </w:rPr>
        <w:t>Community members in conservation areas of Niassa and Gorongosa received training to increase awareness about natural resources exploitation and A two-day course for 23 journalists on climate change was carried out.</w:t>
      </w:r>
      <w:r w:rsidRPr="00F02AB8">
        <w:rPr>
          <w:rFonts w:asciiTheme="majorHAnsi" w:eastAsia="Yu Mincho" w:hAnsiTheme="majorHAnsi" w:cstheme="majorHAnsi"/>
          <w:sz w:val="15"/>
          <w:szCs w:val="15"/>
          <w:lang w:eastAsia="ja-JP"/>
        </w:rPr>
        <w:t xml:space="preserve"> The Gorongosa Park commissioned a Gender and Social Inclusion Assessment in 7 communities in the Gorongosa District resulting in a training session on gender and social inclusion to facilitate the implementation of specific activities based on findings. </w:t>
      </w:r>
      <w:r w:rsidRPr="00F02AB8">
        <w:rPr>
          <w:rFonts w:asciiTheme="majorHAnsi" w:eastAsia="Times New Roman" w:hAnsiTheme="majorHAnsi" w:cstheme="majorHAnsi"/>
          <w:sz w:val="15"/>
          <w:szCs w:val="15"/>
        </w:rPr>
        <w:t xml:space="preserve">The MTA prioritized the area of awareness and education through television programs on different aspects of climate change. </w:t>
      </w:r>
    </w:p>
  </w:footnote>
  <w:footnote w:id="20">
    <w:p w14:paraId="37DD9630" w14:textId="77777777" w:rsidR="00822BB4" w:rsidRPr="00F02AB8" w:rsidRDefault="00822BB4" w:rsidP="004D261F">
      <w:pPr>
        <w:spacing w:line="257" w:lineRule="auto"/>
        <w:jc w:val="both"/>
        <w:rPr>
          <w:rFonts w:asciiTheme="majorHAnsi" w:eastAsia="Times New Roman" w:hAnsiTheme="majorHAnsi" w:cstheme="majorHAnsi"/>
          <w:sz w:val="15"/>
          <w:szCs w:val="15"/>
        </w:rPr>
      </w:pPr>
      <w:r w:rsidRPr="00F02AB8">
        <w:rPr>
          <w:rStyle w:val="FootnoteReference"/>
          <w:rFonts w:asciiTheme="majorHAnsi" w:hAnsiTheme="majorHAnsi" w:cstheme="majorHAnsi"/>
          <w:sz w:val="15"/>
          <w:szCs w:val="15"/>
        </w:rPr>
        <w:footnoteRef/>
      </w:r>
      <w:r w:rsidRPr="00F02AB8">
        <w:rPr>
          <w:rFonts w:asciiTheme="majorHAnsi" w:hAnsiTheme="majorHAnsi" w:cstheme="majorHAnsi"/>
          <w:sz w:val="15"/>
          <w:szCs w:val="15"/>
        </w:rPr>
        <w:t xml:space="preserve"> </w:t>
      </w:r>
      <w:r w:rsidRPr="00F02AB8">
        <w:rPr>
          <w:rFonts w:asciiTheme="majorHAnsi" w:eastAsia="Times New Roman" w:hAnsiTheme="majorHAnsi" w:cstheme="majorHAnsi"/>
          <w:sz w:val="15"/>
          <w:szCs w:val="15"/>
        </w:rPr>
        <w:t xml:space="preserve">New regulation tools were adopted to implement biodiversity offsets. A dedicated Biodiversity Finance and Resource Mobilization Unit was established in the MTA to improve economic planning and budgetary planning and revenue generation for biodiversity conservation. Planning, monitoring, and reporting in biodiversity conservation and sustainable use was also informed by independent peer-review through an Environment Impact Assessment. </w:t>
      </w:r>
    </w:p>
  </w:footnote>
  <w:footnote w:id="21">
    <w:p w14:paraId="4AD79185" w14:textId="77777777" w:rsidR="00822BB4" w:rsidRDefault="00822BB4" w:rsidP="004D261F">
      <w:pPr>
        <w:pStyle w:val="FootnoteText"/>
      </w:pPr>
      <w:r w:rsidRPr="00F02AB8">
        <w:rPr>
          <w:rStyle w:val="FootnoteReference"/>
          <w:rFonts w:asciiTheme="majorHAnsi" w:hAnsiTheme="majorHAnsi" w:cstheme="majorHAnsi"/>
          <w:sz w:val="15"/>
          <w:szCs w:val="15"/>
        </w:rPr>
        <w:footnoteRef/>
      </w:r>
      <w:r w:rsidRPr="00F02AB8">
        <w:rPr>
          <w:rFonts w:asciiTheme="majorHAnsi" w:hAnsiTheme="majorHAnsi" w:cstheme="majorHAnsi"/>
          <w:sz w:val="15"/>
          <w:szCs w:val="15"/>
        </w:rPr>
        <w:t xml:space="preserve"> </w:t>
      </w:r>
      <w:r w:rsidRPr="00F02AB8">
        <w:rPr>
          <w:rFonts w:asciiTheme="majorHAnsi" w:eastAsia="Times New Roman" w:hAnsiTheme="majorHAnsi" w:cstheme="majorHAnsi"/>
          <w:sz w:val="15"/>
          <w:szCs w:val="15"/>
        </w:rPr>
        <w:t>ANAC reinforced its digital infrastructure and gained capacity for data management to optimize its operations, including the biodiversity conservation database and revenue collection and management systems. Staff from protected areas were equipped with new knowledge and normative tools in technical administrative areas. Finally, the first metrics to measure results of biodiversity offset mechanisms for mangrove ecosystem were defined at national level.</w:t>
      </w:r>
    </w:p>
  </w:footnote>
  <w:footnote w:id="22">
    <w:p w14:paraId="1BC2CBF0" w14:textId="77777777" w:rsidR="00822BB4" w:rsidRPr="006E4E5E" w:rsidRDefault="00822BB4" w:rsidP="008C0637">
      <w:pPr>
        <w:pStyle w:val="FootnoteText"/>
        <w:rPr>
          <w:rFonts w:asciiTheme="majorHAnsi" w:hAnsiTheme="majorHAnsi" w:cstheme="majorHAnsi"/>
          <w:sz w:val="15"/>
          <w:szCs w:val="15"/>
        </w:rPr>
      </w:pPr>
      <w:r w:rsidRPr="006E4E5E">
        <w:rPr>
          <w:rStyle w:val="FootnoteReference"/>
          <w:rFonts w:asciiTheme="majorHAnsi" w:hAnsiTheme="majorHAnsi" w:cstheme="majorHAnsi"/>
          <w:sz w:val="15"/>
          <w:szCs w:val="15"/>
        </w:rPr>
        <w:footnoteRef/>
      </w:r>
      <w:r w:rsidRPr="006E4E5E">
        <w:rPr>
          <w:rFonts w:asciiTheme="majorHAnsi" w:hAnsiTheme="majorHAnsi" w:cstheme="majorHAnsi"/>
          <w:sz w:val="15"/>
          <w:szCs w:val="15"/>
        </w:rPr>
        <w:t xml:space="preserve"> </w:t>
      </w:r>
      <w:r>
        <w:rPr>
          <w:rFonts w:asciiTheme="majorHAnsi" w:eastAsia="Times New Roman" w:hAnsiTheme="majorHAnsi" w:cstheme="majorHAnsi"/>
          <w:sz w:val="15"/>
          <w:szCs w:val="15"/>
          <w:lang w:eastAsia="en-GB"/>
        </w:rPr>
        <w:t>T</w:t>
      </w:r>
      <w:r w:rsidRPr="006E4E5E">
        <w:rPr>
          <w:rFonts w:asciiTheme="majorHAnsi" w:eastAsia="Times New Roman" w:hAnsiTheme="majorHAnsi" w:cstheme="majorHAnsi"/>
          <w:sz w:val="15"/>
          <w:szCs w:val="15"/>
          <w:lang w:eastAsia="en-GB"/>
        </w:rPr>
        <w:t>hrough the rehabilitation of two weather station and installation of 9 new weather stations. The data generated is being used by the Gaza provincial branch of INAM and by the District Services for Economic Activities (SDAE) to produce the Meteorological Bulletin for Agriculture and agrometeorological bulletins.</w:t>
      </w:r>
    </w:p>
  </w:footnote>
  <w:footnote w:id="23">
    <w:p w14:paraId="1B1665D8" w14:textId="77777777" w:rsidR="00822BB4" w:rsidRPr="006E4E5E" w:rsidRDefault="00822BB4" w:rsidP="008C0637">
      <w:pPr>
        <w:pStyle w:val="FootnoteText"/>
        <w:rPr>
          <w:rFonts w:asciiTheme="majorHAnsi" w:hAnsiTheme="majorHAnsi" w:cstheme="majorHAnsi"/>
          <w:sz w:val="15"/>
          <w:szCs w:val="15"/>
        </w:rPr>
      </w:pPr>
      <w:r w:rsidRPr="006E4E5E">
        <w:rPr>
          <w:rStyle w:val="FootnoteReference"/>
          <w:rFonts w:asciiTheme="majorHAnsi" w:hAnsiTheme="majorHAnsi" w:cstheme="majorHAnsi"/>
          <w:sz w:val="15"/>
          <w:szCs w:val="15"/>
        </w:rPr>
        <w:footnoteRef/>
      </w:r>
      <w:r w:rsidRPr="006E4E5E">
        <w:rPr>
          <w:rFonts w:asciiTheme="majorHAnsi" w:hAnsiTheme="majorHAnsi" w:cstheme="majorHAnsi"/>
          <w:sz w:val="15"/>
          <w:szCs w:val="15"/>
        </w:rPr>
        <w:t xml:space="preserve"> </w:t>
      </w:r>
      <w:r>
        <w:rPr>
          <w:rFonts w:asciiTheme="majorHAnsi" w:hAnsiTheme="majorHAnsi" w:cstheme="majorHAnsi"/>
          <w:sz w:val="15"/>
          <w:szCs w:val="15"/>
        </w:rPr>
        <w:t>T</w:t>
      </w:r>
      <w:r w:rsidRPr="006E4E5E">
        <w:rPr>
          <w:rFonts w:asciiTheme="majorHAnsi" w:hAnsiTheme="majorHAnsi" w:cstheme="majorHAnsi"/>
          <w:sz w:val="15"/>
          <w:szCs w:val="15"/>
        </w:rPr>
        <w:t>hrough the installation of community sensors along rivers</w:t>
      </w:r>
    </w:p>
  </w:footnote>
  <w:footnote w:id="24">
    <w:p w14:paraId="454DD706" w14:textId="77777777" w:rsidR="00822BB4" w:rsidRPr="006E4E5E" w:rsidRDefault="00822BB4" w:rsidP="008C0637">
      <w:pPr>
        <w:pStyle w:val="FootnoteText"/>
        <w:rPr>
          <w:rFonts w:asciiTheme="majorHAnsi" w:hAnsiTheme="majorHAnsi" w:cstheme="majorHAnsi"/>
          <w:sz w:val="15"/>
          <w:szCs w:val="15"/>
        </w:rPr>
      </w:pPr>
      <w:r w:rsidRPr="006E4E5E">
        <w:rPr>
          <w:rStyle w:val="FootnoteReference"/>
          <w:rFonts w:asciiTheme="majorHAnsi" w:hAnsiTheme="majorHAnsi" w:cstheme="majorHAnsi"/>
          <w:sz w:val="15"/>
          <w:szCs w:val="15"/>
        </w:rPr>
        <w:footnoteRef/>
      </w:r>
      <w:r w:rsidRPr="006E4E5E">
        <w:rPr>
          <w:rFonts w:asciiTheme="majorHAnsi" w:hAnsiTheme="majorHAnsi" w:cstheme="majorHAnsi"/>
          <w:sz w:val="15"/>
          <w:szCs w:val="15"/>
        </w:rPr>
        <w:t xml:space="preserve"> </w:t>
      </w:r>
      <w:r>
        <w:rPr>
          <w:rFonts w:asciiTheme="majorHAnsi" w:hAnsiTheme="majorHAnsi" w:cstheme="majorHAnsi"/>
          <w:sz w:val="15"/>
          <w:szCs w:val="15"/>
        </w:rPr>
        <w:t>T</w:t>
      </w:r>
      <w:r w:rsidRPr="006E4E5E">
        <w:rPr>
          <w:rFonts w:asciiTheme="majorHAnsi" w:hAnsiTheme="majorHAnsi" w:cstheme="majorHAnsi"/>
          <w:sz w:val="15"/>
          <w:szCs w:val="15"/>
        </w:rPr>
        <w:t>hrough the establishment and equipment of 4 Disaster Risk Management School Committees (CEGRD) to support preparedness, prevention, mitigation, response and recovery activities at school levels.</w:t>
      </w:r>
    </w:p>
  </w:footnote>
  <w:footnote w:id="25">
    <w:p w14:paraId="563EECED" w14:textId="77777777" w:rsidR="00822BB4" w:rsidRPr="006E4E5E" w:rsidRDefault="00822BB4" w:rsidP="008C0637">
      <w:pPr>
        <w:pStyle w:val="FootnoteText"/>
        <w:rPr>
          <w:rFonts w:asciiTheme="majorHAnsi" w:hAnsiTheme="majorHAnsi" w:cstheme="majorHAnsi"/>
          <w:sz w:val="15"/>
          <w:szCs w:val="15"/>
        </w:rPr>
      </w:pPr>
      <w:r w:rsidRPr="006E4E5E">
        <w:rPr>
          <w:rStyle w:val="FootnoteReference"/>
          <w:rFonts w:asciiTheme="majorHAnsi" w:hAnsiTheme="majorHAnsi" w:cstheme="majorHAnsi"/>
          <w:sz w:val="15"/>
          <w:szCs w:val="15"/>
        </w:rPr>
        <w:footnoteRef/>
      </w:r>
      <w:r w:rsidRPr="006E4E5E">
        <w:rPr>
          <w:rFonts w:asciiTheme="majorHAnsi" w:hAnsiTheme="majorHAnsi" w:cstheme="majorHAnsi"/>
          <w:sz w:val="15"/>
          <w:szCs w:val="15"/>
        </w:rPr>
        <w:t xml:space="preserve"> </w:t>
      </w:r>
      <w:r>
        <w:rPr>
          <w:rFonts w:asciiTheme="majorHAnsi" w:eastAsia="Times New Roman" w:hAnsiTheme="majorHAnsi" w:cstheme="majorHAnsi"/>
          <w:sz w:val="15"/>
          <w:szCs w:val="15"/>
          <w:lang w:eastAsia="en-GB"/>
        </w:rPr>
        <w:t>I</w:t>
      </w:r>
      <w:r w:rsidRPr="006E4E5E">
        <w:rPr>
          <w:rFonts w:asciiTheme="majorHAnsi" w:eastAsia="Times New Roman" w:hAnsiTheme="majorHAnsi" w:cstheme="majorHAnsi"/>
          <w:sz w:val="15"/>
          <w:szCs w:val="15"/>
          <w:lang w:eastAsia="en-GB"/>
        </w:rPr>
        <w:t>ncluding data uploads, rapid field diagnostics on data collection process and information flow and training of provincial information officers to familiarize with the platform</w:t>
      </w:r>
    </w:p>
  </w:footnote>
  <w:footnote w:id="26">
    <w:p w14:paraId="47142194" w14:textId="77777777" w:rsidR="00822BB4" w:rsidRDefault="00822BB4" w:rsidP="008C0637">
      <w:pPr>
        <w:pStyle w:val="FootnoteText"/>
      </w:pPr>
      <w:r w:rsidRPr="006E4E5E">
        <w:rPr>
          <w:rStyle w:val="FootnoteReference"/>
          <w:rFonts w:asciiTheme="majorHAnsi" w:hAnsiTheme="majorHAnsi" w:cstheme="majorHAnsi"/>
          <w:sz w:val="15"/>
          <w:szCs w:val="15"/>
        </w:rPr>
        <w:footnoteRef/>
      </w:r>
      <w:r w:rsidRPr="006E4E5E">
        <w:rPr>
          <w:rFonts w:asciiTheme="majorHAnsi" w:hAnsiTheme="majorHAnsi" w:cstheme="majorHAnsi"/>
          <w:sz w:val="15"/>
          <w:szCs w:val="15"/>
        </w:rPr>
        <w:t xml:space="preserve"> This included training on CCA practices, community Seed Banks were established, and support to implement climate resilient micro-projects.</w:t>
      </w:r>
      <w:r w:rsidRPr="006E4E5E">
        <w:rPr>
          <w:rFonts w:asciiTheme="majorHAnsi" w:hAnsiTheme="majorHAnsi" w:cstheme="majorHAnsi"/>
          <w:sz w:val="15"/>
          <w:szCs w:val="15"/>
          <w:lang w:val="en-IE"/>
        </w:rPr>
        <w:t xml:space="preserve"> Exchange of technical information, demonstrations, exchange of experience among actors, field days were also organized under the umbrella of the Conservation Agriculture platform.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246A6"/>
    <w:multiLevelType w:val="hybridMultilevel"/>
    <w:tmpl w:val="1D68720A"/>
    <w:lvl w:ilvl="0" w:tplc="4374408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1EA26BB"/>
    <w:multiLevelType w:val="hybridMultilevel"/>
    <w:tmpl w:val="3160B888"/>
    <w:lvl w:ilvl="0" w:tplc="4374408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2366A5"/>
    <w:multiLevelType w:val="hybridMultilevel"/>
    <w:tmpl w:val="41D4E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9D13DE"/>
    <w:multiLevelType w:val="multilevel"/>
    <w:tmpl w:val="C5C49C9A"/>
    <w:lvl w:ilvl="0">
      <w:start w:val="2"/>
      <w:numFmt w:val="bullet"/>
      <w:lvlText w:val="-"/>
      <w:lvlJc w:val="left"/>
      <w:pPr>
        <w:tabs>
          <w:tab w:val="num" w:pos="720"/>
        </w:tabs>
        <w:ind w:left="720" w:hanging="720"/>
      </w:pPr>
      <w:rPr>
        <w:rFonts w:ascii="Calibri" w:eastAsiaTheme="minorHAnsi" w:hAnsi="Calibri" w:cs="Calibri"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5F11ABC"/>
    <w:multiLevelType w:val="hybridMultilevel"/>
    <w:tmpl w:val="D8F00776"/>
    <w:lvl w:ilvl="0" w:tplc="F5044D0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506667"/>
    <w:multiLevelType w:val="hybridMultilevel"/>
    <w:tmpl w:val="9CDACD04"/>
    <w:lvl w:ilvl="0" w:tplc="4374408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701EF7"/>
    <w:multiLevelType w:val="hybridMultilevel"/>
    <w:tmpl w:val="B1581F74"/>
    <w:lvl w:ilvl="0" w:tplc="FB72D3CC">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AD06DA"/>
    <w:multiLevelType w:val="hybridMultilevel"/>
    <w:tmpl w:val="F75E597E"/>
    <w:lvl w:ilvl="0" w:tplc="F4920496">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0D00600D"/>
    <w:multiLevelType w:val="hybridMultilevel"/>
    <w:tmpl w:val="4DE6F5E2"/>
    <w:lvl w:ilvl="0" w:tplc="4374408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B930C2"/>
    <w:multiLevelType w:val="multilevel"/>
    <w:tmpl w:val="C5C49C9A"/>
    <w:lvl w:ilvl="0">
      <w:start w:val="2"/>
      <w:numFmt w:val="bullet"/>
      <w:lvlText w:val="-"/>
      <w:lvlJc w:val="left"/>
      <w:pPr>
        <w:tabs>
          <w:tab w:val="num" w:pos="720"/>
        </w:tabs>
        <w:ind w:left="720" w:hanging="720"/>
      </w:pPr>
      <w:rPr>
        <w:rFonts w:ascii="Calibri" w:eastAsiaTheme="minorHAnsi" w:hAnsi="Calibri" w:cs="Calibri"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11506656"/>
    <w:multiLevelType w:val="hybridMultilevel"/>
    <w:tmpl w:val="880008D6"/>
    <w:lvl w:ilvl="0" w:tplc="4374408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3858F0"/>
    <w:multiLevelType w:val="hybridMultilevel"/>
    <w:tmpl w:val="4E08F7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940A73"/>
    <w:multiLevelType w:val="hybridMultilevel"/>
    <w:tmpl w:val="54C8D21E"/>
    <w:lvl w:ilvl="0" w:tplc="4374408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C66907"/>
    <w:multiLevelType w:val="hybridMultilevel"/>
    <w:tmpl w:val="EE0E1B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9D705E0"/>
    <w:multiLevelType w:val="hybridMultilevel"/>
    <w:tmpl w:val="319A47AC"/>
    <w:lvl w:ilvl="0" w:tplc="4374408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072F7A"/>
    <w:multiLevelType w:val="hybridMultilevel"/>
    <w:tmpl w:val="44DC3FC8"/>
    <w:lvl w:ilvl="0" w:tplc="4374408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E01766"/>
    <w:multiLevelType w:val="hybridMultilevel"/>
    <w:tmpl w:val="7D86FB86"/>
    <w:lvl w:ilvl="0" w:tplc="9DB2375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35D53EE"/>
    <w:multiLevelType w:val="hybridMultilevel"/>
    <w:tmpl w:val="2E7CC4A8"/>
    <w:lvl w:ilvl="0" w:tplc="FB72D3CC">
      <w:start w:val="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91136D"/>
    <w:multiLevelType w:val="hybridMultilevel"/>
    <w:tmpl w:val="D6E6DC92"/>
    <w:lvl w:ilvl="0" w:tplc="4374408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393FA2"/>
    <w:multiLevelType w:val="hybridMultilevel"/>
    <w:tmpl w:val="DB04A90A"/>
    <w:lvl w:ilvl="0" w:tplc="4374408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B7124D"/>
    <w:multiLevelType w:val="hybridMultilevel"/>
    <w:tmpl w:val="7E84101A"/>
    <w:lvl w:ilvl="0" w:tplc="4374408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9F2D35"/>
    <w:multiLevelType w:val="hybridMultilevel"/>
    <w:tmpl w:val="2CB6AE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2E676CAF"/>
    <w:multiLevelType w:val="hybridMultilevel"/>
    <w:tmpl w:val="79B69DDA"/>
    <w:lvl w:ilvl="0" w:tplc="FB72D3CC">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00202DD"/>
    <w:multiLevelType w:val="hybridMultilevel"/>
    <w:tmpl w:val="12F251C4"/>
    <w:lvl w:ilvl="0" w:tplc="4374408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073676D"/>
    <w:multiLevelType w:val="multilevel"/>
    <w:tmpl w:val="9DA66160"/>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43C0EED"/>
    <w:multiLevelType w:val="hybridMultilevel"/>
    <w:tmpl w:val="33D4D954"/>
    <w:lvl w:ilvl="0" w:tplc="43744082">
      <w:numFmt w:val="bullet"/>
      <w:lvlText w:val="-"/>
      <w:lvlJc w:val="left"/>
      <w:pPr>
        <w:ind w:left="720" w:hanging="360"/>
      </w:pPr>
      <w:rPr>
        <w:rFonts w:ascii="Calibri" w:eastAsiaTheme="minorHAnsi" w:hAnsi="Calibri" w:cs="Calibri" w:hint="default"/>
      </w:rPr>
    </w:lvl>
    <w:lvl w:ilvl="1" w:tplc="3DE61950">
      <w:start w:val="5"/>
      <w:numFmt w:val="bullet"/>
      <w:lvlText w:val="•"/>
      <w:lvlJc w:val="left"/>
      <w:pPr>
        <w:ind w:left="1800" w:hanging="720"/>
      </w:pPr>
      <w:rPr>
        <w:rFonts w:ascii="Calibri Light" w:eastAsiaTheme="minorHAnsi" w:hAnsi="Calibri Light" w:cs="Calibri Ligh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8525DE6"/>
    <w:multiLevelType w:val="hybridMultilevel"/>
    <w:tmpl w:val="2CD660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8F95F8D"/>
    <w:multiLevelType w:val="hybridMultilevel"/>
    <w:tmpl w:val="CD4A1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9E706EF"/>
    <w:multiLevelType w:val="hybridMultilevel"/>
    <w:tmpl w:val="827402AC"/>
    <w:lvl w:ilvl="0" w:tplc="4374408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E712D9F"/>
    <w:multiLevelType w:val="hybridMultilevel"/>
    <w:tmpl w:val="ED243D4E"/>
    <w:lvl w:ilvl="0" w:tplc="4374408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983868"/>
    <w:multiLevelType w:val="multilevel"/>
    <w:tmpl w:val="3B92CC12"/>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3513BAA"/>
    <w:multiLevelType w:val="multilevel"/>
    <w:tmpl w:val="63D08F06"/>
    <w:lvl w:ilvl="0">
      <w:start w:val="2"/>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2" w15:restartNumberingAfterBreak="0">
    <w:nsid w:val="482A3793"/>
    <w:multiLevelType w:val="hybridMultilevel"/>
    <w:tmpl w:val="A54CE4F0"/>
    <w:lvl w:ilvl="0" w:tplc="FB72D3CC">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BA412F3"/>
    <w:multiLevelType w:val="hybridMultilevel"/>
    <w:tmpl w:val="4A2CDE16"/>
    <w:lvl w:ilvl="0" w:tplc="FB72D3CC">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EB7074C"/>
    <w:multiLevelType w:val="hybridMultilevel"/>
    <w:tmpl w:val="D144A948"/>
    <w:lvl w:ilvl="0" w:tplc="A498D744">
      <w:start w:val="1"/>
      <w:numFmt w:val="upperRoman"/>
      <w:lvlText w:val="%1."/>
      <w:lvlJc w:val="left"/>
      <w:pPr>
        <w:ind w:left="1080" w:hanging="72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0D719CC"/>
    <w:multiLevelType w:val="multilevel"/>
    <w:tmpl w:val="76DE9288"/>
    <w:lvl w:ilvl="0">
      <w:start w:val="1"/>
      <w:numFmt w:val="decimal"/>
      <w:lvlText w:val="%1."/>
      <w:lvlJc w:val="left"/>
      <w:pPr>
        <w:ind w:left="720" w:hanging="360"/>
      </w:pPr>
      <w:rPr>
        <w:rFonts w:hint="default"/>
      </w:rPr>
    </w:lvl>
    <w:lvl w:ilvl="1">
      <w:start w:val="1"/>
      <w:numFmt w:val="decimal"/>
      <w:isLgl/>
      <w:lvlText w:val="%1.%2"/>
      <w:lvlJc w:val="left"/>
      <w:pPr>
        <w:ind w:left="1440" w:hanging="1080"/>
      </w:pPr>
      <w:rPr>
        <w:rFonts w:hint="default"/>
        <w:b w:val="0"/>
        <w:sz w:val="26"/>
      </w:rPr>
    </w:lvl>
    <w:lvl w:ilvl="2">
      <w:start w:val="1"/>
      <w:numFmt w:val="decimal"/>
      <w:isLgl/>
      <w:lvlText w:val="%1.%2.%3"/>
      <w:lvlJc w:val="left"/>
      <w:pPr>
        <w:ind w:left="2160" w:hanging="1800"/>
      </w:pPr>
      <w:rPr>
        <w:rFonts w:hint="default"/>
        <w:b w:val="0"/>
        <w:sz w:val="26"/>
      </w:rPr>
    </w:lvl>
    <w:lvl w:ilvl="3">
      <w:start w:val="1"/>
      <w:numFmt w:val="decimal"/>
      <w:isLgl/>
      <w:lvlText w:val="%1.%2.%3.%4"/>
      <w:lvlJc w:val="left"/>
      <w:pPr>
        <w:ind w:left="2520" w:hanging="2160"/>
      </w:pPr>
      <w:rPr>
        <w:rFonts w:hint="default"/>
        <w:b w:val="0"/>
        <w:sz w:val="26"/>
      </w:rPr>
    </w:lvl>
    <w:lvl w:ilvl="4">
      <w:start w:val="1"/>
      <w:numFmt w:val="decimal"/>
      <w:isLgl/>
      <w:lvlText w:val="%1.%2.%3.%4.%5"/>
      <w:lvlJc w:val="left"/>
      <w:pPr>
        <w:ind w:left="3240" w:hanging="2880"/>
      </w:pPr>
      <w:rPr>
        <w:rFonts w:hint="default"/>
        <w:b w:val="0"/>
        <w:sz w:val="26"/>
      </w:rPr>
    </w:lvl>
    <w:lvl w:ilvl="5">
      <w:start w:val="1"/>
      <w:numFmt w:val="decimal"/>
      <w:isLgl/>
      <w:lvlText w:val="%1.%2.%3.%4.%5.%6"/>
      <w:lvlJc w:val="left"/>
      <w:pPr>
        <w:ind w:left="3600" w:hanging="3240"/>
      </w:pPr>
      <w:rPr>
        <w:rFonts w:hint="default"/>
        <w:b w:val="0"/>
        <w:sz w:val="26"/>
      </w:rPr>
    </w:lvl>
    <w:lvl w:ilvl="6">
      <w:start w:val="1"/>
      <w:numFmt w:val="decimal"/>
      <w:isLgl/>
      <w:lvlText w:val="%1.%2.%3.%4.%5.%6.%7"/>
      <w:lvlJc w:val="left"/>
      <w:pPr>
        <w:ind w:left="4320" w:hanging="3960"/>
      </w:pPr>
      <w:rPr>
        <w:rFonts w:hint="default"/>
        <w:b w:val="0"/>
        <w:sz w:val="26"/>
      </w:rPr>
    </w:lvl>
    <w:lvl w:ilvl="7">
      <w:start w:val="1"/>
      <w:numFmt w:val="decimal"/>
      <w:isLgl/>
      <w:lvlText w:val="%1.%2.%3.%4.%5.%6.%7.%8"/>
      <w:lvlJc w:val="left"/>
      <w:pPr>
        <w:ind w:left="4680" w:hanging="4320"/>
      </w:pPr>
      <w:rPr>
        <w:rFonts w:hint="default"/>
        <w:b w:val="0"/>
        <w:sz w:val="26"/>
      </w:rPr>
    </w:lvl>
    <w:lvl w:ilvl="8">
      <w:start w:val="1"/>
      <w:numFmt w:val="decimal"/>
      <w:isLgl/>
      <w:lvlText w:val="%1.%2.%3.%4.%5.%6.%7.%8.%9"/>
      <w:lvlJc w:val="left"/>
      <w:pPr>
        <w:ind w:left="5400" w:hanging="5040"/>
      </w:pPr>
      <w:rPr>
        <w:rFonts w:hint="default"/>
        <w:b w:val="0"/>
        <w:sz w:val="26"/>
      </w:rPr>
    </w:lvl>
  </w:abstractNum>
  <w:abstractNum w:abstractNumId="36" w15:restartNumberingAfterBreak="0">
    <w:nsid w:val="516C70A4"/>
    <w:multiLevelType w:val="hybridMultilevel"/>
    <w:tmpl w:val="41F24DC4"/>
    <w:lvl w:ilvl="0" w:tplc="4374408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3826D79"/>
    <w:multiLevelType w:val="hybridMultilevel"/>
    <w:tmpl w:val="FD2AD02C"/>
    <w:lvl w:ilvl="0" w:tplc="4374408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8FE4FFE"/>
    <w:multiLevelType w:val="hybridMultilevel"/>
    <w:tmpl w:val="0938E9B6"/>
    <w:lvl w:ilvl="0" w:tplc="4374408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9A671B7"/>
    <w:multiLevelType w:val="multilevel"/>
    <w:tmpl w:val="7FF455C4"/>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0" w15:restartNumberingAfterBreak="0">
    <w:nsid w:val="5AD13F60"/>
    <w:multiLevelType w:val="hybridMultilevel"/>
    <w:tmpl w:val="6CF8EF0C"/>
    <w:lvl w:ilvl="0" w:tplc="4374408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CB31AB0"/>
    <w:multiLevelType w:val="hybridMultilevel"/>
    <w:tmpl w:val="EDD6E386"/>
    <w:lvl w:ilvl="0" w:tplc="4374408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D670FC3"/>
    <w:multiLevelType w:val="hybridMultilevel"/>
    <w:tmpl w:val="B37071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5E4133AF"/>
    <w:multiLevelType w:val="hybridMultilevel"/>
    <w:tmpl w:val="A8C2B872"/>
    <w:lvl w:ilvl="0" w:tplc="4374408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4" w15:restartNumberingAfterBreak="0">
    <w:nsid w:val="61C0496F"/>
    <w:multiLevelType w:val="hybridMultilevel"/>
    <w:tmpl w:val="916A0800"/>
    <w:lvl w:ilvl="0" w:tplc="4374408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33706D6"/>
    <w:multiLevelType w:val="hybridMultilevel"/>
    <w:tmpl w:val="E42CECEC"/>
    <w:lvl w:ilvl="0" w:tplc="4374408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64387256"/>
    <w:multiLevelType w:val="multilevel"/>
    <w:tmpl w:val="273A4654"/>
    <w:lvl w:ilvl="0">
      <w:start w:val="2"/>
      <w:numFmt w:val="bullet"/>
      <w:lvlText w:val="-"/>
      <w:lvlJc w:val="left"/>
      <w:pPr>
        <w:tabs>
          <w:tab w:val="num" w:pos="720"/>
        </w:tabs>
        <w:ind w:left="720" w:hanging="720"/>
      </w:pPr>
      <w:rPr>
        <w:rFonts w:ascii="Calibri" w:eastAsiaTheme="minorHAnsi" w:hAnsi="Calibri" w:cs="Calibri"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7" w15:restartNumberingAfterBreak="0">
    <w:nsid w:val="66022AAD"/>
    <w:multiLevelType w:val="hybridMultilevel"/>
    <w:tmpl w:val="F72C14FE"/>
    <w:lvl w:ilvl="0" w:tplc="4374408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E7004BA"/>
    <w:multiLevelType w:val="hybridMultilevel"/>
    <w:tmpl w:val="0E761BC2"/>
    <w:lvl w:ilvl="0" w:tplc="4374408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6F2D685D"/>
    <w:multiLevelType w:val="hybridMultilevel"/>
    <w:tmpl w:val="42D679CE"/>
    <w:lvl w:ilvl="0" w:tplc="54C8084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41F0CC5"/>
    <w:multiLevelType w:val="hybridMultilevel"/>
    <w:tmpl w:val="1D28FAC2"/>
    <w:lvl w:ilvl="0" w:tplc="4374408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45A7645"/>
    <w:multiLevelType w:val="hybridMultilevel"/>
    <w:tmpl w:val="021A12E6"/>
    <w:lvl w:ilvl="0" w:tplc="4374408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54228B9"/>
    <w:multiLevelType w:val="hybridMultilevel"/>
    <w:tmpl w:val="C222414E"/>
    <w:lvl w:ilvl="0" w:tplc="43744082">
      <w:numFmt w:val="bullet"/>
      <w:lvlText w:val="-"/>
      <w:lvlJc w:val="left"/>
      <w:pPr>
        <w:ind w:left="720" w:hanging="360"/>
      </w:pPr>
      <w:rPr>
        <w:rFonts w:ascii="Calibri" w:eastAsiaTheme="minorHAnsi" w:hAnsi="Calibri" w:cs="Calibri" w:hint="default"/>
      </w:rPr>
    </w:lvl>
    <w:lvl w:ilvl="1" w:tplc="BCE421D4">
      <w:start w:val="142"/>
      <w:numFmt w:val="bullet"/>
      <w:lvlText w:val="•"/>
      <w:lvlJc w:val="left"/>
      <w:pPr>
        <w:ind w:left="1800" w:hanging="720"/>
      </w:pPr>
      <w:rPr>
        <w:rFonts w:ascii="Calibri Light" w:eastAsiaTheme="minorHAnsi" w:hAnsi="Calibri Light" w:cs="Calibri Ligh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758431E"/>
    <w:multiLevelType w:val="hybridMultilevel"/>
    <w:tmpl w:val="117E8800"/>
    <w:lvl w:ilvl="0" w:tplc="4374408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9BC7F98"/>
    <w:multiLevelType w:val="hybridMultilevel"/>
    <w:tmpl w:val="8854832C"/>
    <w:lvl w:ilvl="0" w:tplc="4374408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A8B6FA7"/>
    <w:multiLevelType w:val="hybridMultilevel"/>
    <w:tmpl w:val="54BACF1C"/>
    <w:lvl w:ilvl="0" w:tplc="4374408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B710139"/>
    <w:multiLevelType w:val="hybridMultilevel"/>
    <w:tmpl w:val="28AA7C9C"/>
    <w:lvl w:ilvl="0" w:tplc="4374408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D8774BD"/>
    <w:multiLevelType w:val="hybridMultilevel"/>
    <w:tmpl w:val="8CBEBD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5"/>
  </w:num>
  <w:num w:numId="2">
    <w:abstractNumId w:val="24"/>
  </w:num>
  <w:num w:numId="3">
    <w:abstractNumId w:val="17"/>
  </w:num>
  <w:num w:numId="4">
    <w:abstractNumId w:val="32"/>
  </w:num>
  <w:num w:numId="5">
    <w:abstractNumId w:val="20"/>
  </w:num>
  <w:num w:numId="6">
    <w:abstractNumId w:val="29"/>
  </w:num>
  <w:num w:numId="7">
    <w:abstractNumId w:val="37"/>
  </w:num>
  <w:num w:numId="8">
    <w:abstractNumId w:val="12"/>
  </w:num>
  <w:num w:numId="9">
    <w:abstractNumId w:val="15"/>
  </w:num>
  <w:num w:numId="10">
    <w:abstractNumId w:val="25"/>
  </w:num>
  <w:num w:numId="11">
    <w:abstractNumId w:val="40"/>
  </w:num>
  <w:num w:numId="12">
    <w:abstractNumId w:val="0"/>
  </w:num>
  <w:num w:numId="13">
    <w:abstractNumId w:val="48"/>
  </w:num>
  <w:num w:numId="14">
    <w:abstractNumId w:val="43"/>
  </w:num>
  <w:num w:numId="15">
    <w:abstractNumId w:val="51"/>
  </w:num>
  <w:num w:numId="16">
    <w:abstractNumId w:val="10"/>
  </w:num>
  <w:num w:numId="17">
    <w:abstractNumId w:val="23"/>
  </w:num>
  <w:num w:numId="18">
    <w:abstractNumId w:val="41"/>
  </w:num>
  <w:num w:numId="19">
    <w:abstractNumId w:val="47"/>
  </w:num>
  <w:num w:numId="20">
    <w:abstractNumId w:val="36"/>
  </w:num>
  <w:num w:numId="21">
    <w:abstractNumId w:val="14"/>
  </w:num>
  <w:num w:numId="22">
    <w:abstractNumId w:val="5"/>
  </w:num>
  <w:num w:numId="23">
    <w:abstractNumId w:val="19"/>
  </w:num>
  <w:num w:numId="24">
    <w:abstractNumId w:val="52"/>
  </w:num>
  <w:num w:numId="25">
    <w:abstractNumId w:val="45"/>
  </w:num>
  <w:num w:numId="26">
    <w:abstractNumId w:val="56"/>
  </w:num>
  <w:num w:numId="27">
    <w:abstractNumId w:val="2"/>
  </w:num>
  <w:num w:numId="28">
    <w:abstractNumId w:val="13"/>
  </w:num>
  <w:num w:numId="29">
    <w:abstractNumId w:val="1"/>
  </w:num>
  <w:num w:numId="30">
    <w:abstractNumId w:val="55"/>
  </w:num>
  <w:num w:numId="31">
    <w:abstractNumId w:val="18"/>
  </w:num>
  <w:num w:numId="32">
    <w:abstractNumId w:val="8"/>
  </w:num>
  <w:num w:numId="33">
    <w:abstractNumId w:val="28"/>
  </w:num>
  <w:num w:numId="34">
    <w:abstractNumId w:val="50"/>
  </w:num>
  <w:num w:numId="35">
    <w:abstractNumId w:val="54"/>
  </w:num>
  <w:num w:numId="36">
    <w:abstractNumId w:val="53"/>
  </w:num>
  <w:num w:numId="37">
    <w:abstractNumId w:val="44"/>
  </w:num>
  <w:num w:numId="38">
    <w:abstractNumId w:val="38"/>
  </w:num>
  <w:num w:numId="39">
    <w:abstractNumId w:val="9"/>
  </w:num>
  <w:num w:numId="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num>
  <w:num w:numId="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7"/>
  </w:num>
  <w:num w:numId="44">
    <w:abstractNumId w:val="4"/>
  </w:num>
  <w:num w:numId="45">
    <w:abstractNumId w:val="16"/>
  </w:num>
  <w:num w:numId="46">
    <w:abstractNumId w:val="11"/>
  </w:num>
  <w:num w:numId="47">
    <w:abstractNumId w:val="22"/>
  </w:num>
  <w:num w:numId="48">
    <w:abstractNumId w:val="33"/>
  </w:num>
  <w:num w:numId="49">
    <w:abstractNumId w:val="6"/>
  </w:num>
  <w:num w:numId="50">
    <w:abstractNumId w:val="7"/>
  </w:num>
  <w:num w:numId="51">
    <w:abstractNumId w:val="31"/>
  </w:num>
  <w:num w:numId="52">
    <w:abstractNumId w:val="30"/>
  </w:num>
  <w:num w:numId="53">
    <w:abstractNumId w:val="39"/>
  </w:num>
  <w:num w:numId="54">
    <w:abstractNumId w:val="46"/>
  </w:num>
  <w:num w:numId="55">
    <w:abstractNumId w:val="3"/>
  </w:num>
  <w:num w:numId="56">
    <w:abstractNumId w:val="26"/>
  </w:num>
  <w:num w:numId="57">
    <w:abstractNumId w:val="34"/>
  </w:num>
  <w:num w:numId="58">
    <w:abstractNumId w:val="49"/>
  </w:num>
  <w:num w:numId="59">
    <w:abstractNumId w:val="42"/>
  </w:num>
  <w:num w:numId="60">
    <w:abstractNumId w:val="21"/>
  </w:num>
  <w:num w:numId="61">
    <w:abstractNumId w:val="5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0DD7"/>
    <w:rsid w:val="000007F7"/>
    <w:rsid w:val="000065C3"/>
    <w:rsid w:val="000133EC"/>
    <w:rsid w:val="000157A1"/>
    <w:rsid w:val="0001710F"/>
    <w:rsid w:val="000235DD"/>
    <w:rsid w:val="000243D2"/>
    <w:rsid w:val="00036C36"/>
    <w:rsid w:val="00040B7A"/>
    <w:rsid w:val="00056E44"/>
    <w:rsid w:val="00086EE1"/>
    <w:rsid w:val="00087269"/>
    <w:rsid w:val="00090DD7"/>
    <w:rsid w:val="00095868"/>
    <w:rsid w:val="000B6802"/>
    <w:rsid w:val="000B6E35"/>
    <w:rsid w:val="000C48AD"/>
    <w:rsid w:val="000D1B83"/>
    <w:rsid w:val="000D78F6"/>
    <w:rsid w:val="000E5EEF"/>
    <w:rsid w:val="000E653C"/>
    <w:rsid w:val="000F1C14"/>
    <w:rsid w:val="000F5415"/>
    <w:rsid w:val="000F5C65"/>
    <w:rsid w:val="000F623F"/>
    <w:rsid w:val="00103598"/>
    <w:rsid w:val="0010512A"/>
    <w:rsid w:val="00106793"/>
    <w:rsid w:val="001156B0"/>
    <w:rsid w:val="00128BD7"/>
    <w:rsid w:val="00131A9B"/>
    <w:rsid w:val="00135396"/>
    <w:rsid w:val="00140A95"/>
    <w:rsid w:val="00141B5F"/>
    <w:rsid w:val="001467BD"/>
    <w:rsid w:val="00151F46"/>
    <w:rsid w:val="00154058"/>
    <w:rsid w:val="00156A6D"/>
    <w:rsid w:val="00174B05"/>
    <w:rsid w:val="00175325"/>
    <w:rsid w:val="00176CB4"/>
    <w:rsid w:val="00192929"/>
    <w:rsid w:val="00196F54"/>
    <w:rsid w:val="001A11A6"/>
    <w:rsid w:val="001A2DE6"/>
    <w:rsid w:val="001A5034"/>
    <w:rsid w:val="001C5C07"/>
    <w:rsid w:val="001D36D4"/>
    <w:rsid w:val="001D5142"/>
    <w:rsid w:val="001E312A"/>
    <w:rsid w:val="001E326A"/>
    <w:rsid w:val="001F3884"/>
    <w:rsid w:val="001F484F"/>
    <w:rsid w:val="00213EBF"/>
    <w:rsid w:val="00226777"/>
    <w:rsid w:val="00240A37"/>
    <w:rsid w:val="00243036"/>
    <w:rsid w:val="002531F6"/>
    <w:rsid w:val="00253372"/>
    <w:rsid w:val="00254949"/>
    <w:rsid w:val="002836FF"/>
    <w:rsid w:val="00287F30"/>
    <w:rsid w:val="002915F1"/>
    <w:rsid w:val="002B288E"/>
    <w:rsid w:val="002B55CF"/>
    <w:rsid w:val="002B55D0"/>
    <w:rsid w:val="002C029F"/>
    <w:rsid w:val="002C15D8"/>
    <w:rsid w:val="002C3A7C"/>
    <w:rsid w:val="002D3F20"/>
    <w:rsid w:val="002F5FDF"/>
    <w:rsid w:val="0030200B"/>
    <w:rsid w:val="00315AEA"/>
    <w:rsid w:val="003234C4"/>
    <w:rsid w:val="003352B3"/>
    <w:rsid w:val="00337CE5"/>
    <w:rsid w:val="00341A08"/>
    <w:rsid w:val="003503B2"/>
    <w:rsid w:val="00352188"/>
    <w:rsid w:val="00353A84"/>
    <w:rsid w:val="0036238E"/>
    <w:rsid w:val="003721C1"/>
    <w:rsid w:val="00373428"/>
    <w:rsid w:val="00393D2A"/>
    <w:rsid w:val="00394DA1"/>
    <w:rsid w:val="00397AF3"/>
    <w:rsid w:val="003A17C0"/>
    <w:rsid w:val="003A184B"/>
    <w:rsid w:val="003A189E"/>
    <w:rsid w:val="003A6379"/>
    <w:rsid w:val="003B631C"/>
    <w:rsid w:val="003C4EEA"/>
    <w:rsid w:val="003D0A9C"/>
    <w:rsid w:val="003D607D"/>
    <w:rsid w:val="003D7E73"/>
    <w:rsid w:val="003E46F2"/>
    <w:rsid w:val="003E50DB"/>
    <w:rsid w:val="00416FDF"/>
    <w:rsid w:val="00417FEF"/>
    <w:rsid w:val="00424DD0"/>
    <w:rsid w:val="0044026B"/>
    <w:rsid w:val="004410D6"/>
    <w:rsid w:val="00450BB4"/>
    <w:rsid w:val="004530B1"/>
    <w:rsid w:val="004546E9"/>
    <w:rsid w:val="00454B47"/>
    <w:rsid w:val="00466A42"/>
    <w:rsid w:val="00476657"/>
    <w:rsid w:val="004806D1"/>
    <w:rsid w:val="00494FA4"/>
    <w:rsid w:val="00497255"/>
    <w:rsid w:val="004B2BFB"/>
    <w:rsid w:val="004B60D5"/>
    <w:rsid w:val="004D261F"/>
    <w:rsid w:val="004D52A2"/>
    <w:rsid w:val="004D5A62"/>
    <w:rsid w:val="004F1C19"/>
    <w:rsid w:val="004F6D03"/>
    <w:rsid w:val="00501593"/>
    <w:rsid w:val="00506B00"/>
    <w:rsid w:val="005240D2"/>
    <w:rsid w:val="005307BB"/>
    <w:rsid w:val="005348D8"/>
    <w:rsid w:val="00537890"/>
    <w:rsid w:val="0054071A"/>
    <w:rsid w:val="005414A9"/>
    <w:rsid w:val="00542B36"/>
    <w:rsid w:val="005470D8"/>
    <w:rsid w:val="00552002"/>
    <w:rsid w:val="00556F1C"/>
    <w:rsid w:val="005662B3"/>
    <w:rsid w:val="00570C81"/>
    <w:rsid w:val="005762CA"/>
    <w:rsid w:val="00585DD3"/>
    <w:rsid w:val="00595099"/>
    <w:rsid w:val="0059640C"/>
    <w:rsid w:val="005A0956"/>
    <w:rsid w:val="005A4D95"/>
    <w:rsid w:val="005B27FF"/>
    <w:rsid w:val="005C0D25"/>
    <w:rsid w:val="005D0077"/>
    <w:rsid w:val="005D1081"/>
    <w:rsid w:val="005D4856"/>
    <w:rsid w:val="005D7586"/>
    <w:rsid w:val="005D75A2"/>
    <w:rsid w:val="005F50E0"/>
    <w:rsid w:val="005F6547"/>
    <w:rsid w:val="00602AC8"/>
    <w:rsid w:val="0060520D"/>
    <w:rsid w:val="0061062A"/>
    <w:rsid w:val="006171FD"/>
    <w:rsid w:val="00622035"/>
    <w:rsid w:val="00625C8D"/>
    <w:rsid w:val="0063523D"/>
    <w:rsid w:val="00640D09"/>
    <w:rsid w:val="0064120E"/>
    <w:rsid w:val="00650E6F"/>
    <w:rsid w:val="0066164B"/>
    <w:rsid w:val="00663EA9"/>
    <w:rsid w:val="006708AA"/>
    <w:rsid w:val="006738DA"/>
    <w:rsid w:val="00680932"/>
    <w:rsid w:val="0068146C"/>
    <w:rsid w:val="00681BCE"/>
    <w:rsid w:val="00687C14"/>
    <w:rsid w:val="006907BD"/>
    <w:rsid w:val="00691AFD"/>
    <w:rsid w:val="00693733"/>
    <w:rsid w:val="00695ECA"/>
    <w:rsid w:val="006D150A"/>
    <w:rsid w:val="006D1B21"/>
    <w:rsid w:val="006D4B94"/>
    <w:rsid w:val="006D5DFF"/>
    <w:rsid w:val="006E5A6B"/>
    <w:rsid w:val="006F01E6"/>
    <w:rsid w:val="006F0B4D"/>
    <w:rsid w:val="006F482D"/>
    <w:rsid w:val="007015FA"/>
    <w:rsid w:val="0070197F"/>
    <w:rsid w:val="00725E66"/>
    <w:rsid w:val="00727D4F"/>
    <w:rsid w:val="00740728"/>
    <w:rsid w:val="0075354C"/>
    <w:rsid w:val="007626F3"/>
    <w:rsid w:val="00771FE0"/>
    <w:rsid w:val="0077728C"/>
    <w:rsid w:val="00781F34"/>
    <w:rsid w:val="00783645"/>
    <w:rsid w:val="0078451D"/>
    <w:rsid w:val="007A715B"/>
    <w:rsid w:val="007B16BF"/>
    <w:rsid w:val="007B3B65"/>
    <w:rsid w:val="007B4A37"/>
    <w:rsid w:val="007C31E1"/>
    <w:rsid w:val="007C630C"/>
    <w:rsid w:val="007D43FE"/>
    <w:rsid w:val="007D537C"/>
    <w:rsid w:val="007D5EC4"/>
    <w:rsid w:val="007D6907"/>
    <w:rsid w:val="007E4A90"/>
    <w:rsid w:val="007F0E53"/>
    <w:rsid w:val="007F158A"/>
    <w:rsid w:val="0080064A"/>
    <w:rsid w:val="008016CE"/>
    <w:rsid w:val="0080653B"/>
    <w:rsid w:val="0081089F"/>
    <w:rsid w:val="00811D2C"/>
    <w:rsid w:val="00822BB4"/>
    <w:rsid w:val="00826152"/>
    <w:rsid w:val="00837A5E"/>
    <w:rsid w:val="008440CB"/>
    <w:rsid w:val="00852226"/>
    <w:rsid w:val="00870213"/>
    <w:rsid w:val="008707CA"/>
    <w:rsid w:val="00873680"/>
    <w:rsid w:val="00877089"/>
    <w:rsid w:val="00881A8E"/>
    <w:rsid w:val="0089570F"/>
    <w:rsid w:val="008A3024"/>
    <w:rsid w:val="008C0637"/>
    <w:rsid w:val="008D0CE5"/>
    <w:rsid w:val="008D37EE"/>
    <w:rsid w:val="008E1CAC"/>
    <w:rsid w:val="008F1401"/>
    <w:rsid w:val="008F68CB"/>
    <w:rsid w:val="008F7689"/>
    <w:rsid w:val="00903117"/>
    <w:rsid w:val="009032B1"/>
    <w:rsid w:val="0090480B"/>
    <w:rsid w:val="0092315E"/>
    <w:rsid w:val="00923688"/>
    <w:rsid w:val="0093123E"/>
    <w:rsid w:val="00934A7C"/>
    <w:rsid w:val="0093783F"/>
    <w:rsid w:val="00941674"/>
    <w:rsid w:val="00943513"/>
    <w:rsid w:val="00943A22"/>
    <w:rsid w:val="0094663D"/>
    <w:rsid w:val="00964254"/>
    <w:rsid w:val="009655A8"/>
    <w:rsid w:val="0097751A"/>
    <w:rsid w:val="0098602C"/>
    <w:rsid w:val="00995A00"/>
    <w:rsid w:val="00997FDF"/>
    <w:rsid w:val="009A2C65"/>
    <w:rsid w:val="009B52B9"/>
    <w:rsid w:val="009C68A6"/>
    <w:rsid w:val="009C6BA8"/>
    <w:rsid w:val="009D18A4"/>
    <w:rsid w:val="009D725A"/>
    <w:rsid w:val="009E7B7D"/>
    <w:rsid w:val="009F0890"/>
    <w:rsid w:val="009F08AF"/>
    <w:rsid w:val="009F2E10"/>
    <w:rsid w:val="009F6AB8"/>
    <w:rsid w:val="00A11AC2"/>
    <w:rsid w:val="00A129F3"/>
    <w:rsid w:val="00A1456B"/>
    <w:rsid w:val="00A169BD"/>
    <w:rsid w:val="00A23889"/>
    <w:rsid w:val="00A26768"/>
    <w:rsid w:val="00A33976"/>
    <w:rsid w:val="00A42D1E"/>
    <w:rsid w:val="00A54B4A"/>
    <w:rsid w:val="00A60EBF"/>
    <w:rsid w:val="00A635D3"/>
    <w:rsid w:val="00A66DAE"/>
    <w:rsid w:val="00A70A9F"/>
    <w:rsid w:val="00A75CFC"/>
    <w:rsid w:val="00A92177"/>
    <w:rsid w:val="00A927CD"/>
    <w:rsid w:val="00A94386"/>
    <w:rsid w:val="00A94C89"/>
    <w:rsid w:val="00A95025"/>
    <w:rsid w:val="00AA307D"/>
    <w:rsid w:val="00AA7D2F"/>
    <w:rsid w:val="00AB366D"/>
    <w:rsid w:val="00AC1220"/>
    <w:rsid w:val="00AC5F1F"/>
    <w:rsid w:val="00AE4DF9"/>
    <w:rsid w:val="00AE6F94"/>
    <w:rsid w:val="00B07738"/>
    <w:rsid w:val="00B20F0F"/>
    <w:rsid w:val="00B2294B"/>
    <w:rsid w:val="00B36FB0"/>
    <w:rsid w:val="00B40E9C"/>
    <w:rsid w:val="00B447CD"/>
    <w:rsid w:val="00B5004F"/>
    <w:rsid w:val="00B501B8"/>
    <w:rsid w:val="00B525C2"/>
    <w:rsid w:val="00B55277"/>
    <w:rsid w:val="00B719A6"/>
    <w:rsid w:val="00B77164"/>
    <w:rsid w:val="00B80E76"/>
    <w:rsid w:val="00B8431C"/>
    <w:rsid w:val="00B844AC"/>
    <w:rsid w:val="00B93BDE"/>
    <w:rsid w:val="00B9469F"/>
    <w:rsid w:val="00B94EED"/>
    <w:rsid w:val="00B9621A"/>
    <w:rsid w:val="00BA075E"/>
    <w:rsid w:val="00BA0A4E"/>
    <w:rsid w:val="00BA4EFC"/>
    <w:rsid w:val="00BA5378"/>
    <w:rsid w:val="00BB2920"/>
    <w:rsid w:val="00BB2F28"/>
    <w:rsid w:val="00BC0437"/>
    <w:rsid w:val="00BC677C"/>
    <w:rsid w:val="00BF158B"/>
    <w:rsid w:val="00BF226C"/>
    <w:rsid w:val="00C03A89"/>
    <w:rsid w:val="00C054DB"/>
    <w:rsid w:val="00C15EAD"/>
    <w:rsid w:val="00C20AA6"/>
    <w:rsid w:val="00C2227C"/>
    <w:rsid w:val="00C2610F"/>
    <w:rsid w:val="00C2758B"/>
    <w:rsid w:val="00C275F0"/>
    <w:rsid w:val="00C302CD"/>
    <w:rsid w:val="00C30A83"/>
    <w:rsid w:val="00C532B5"/>
    <w:rsid w:val="00C55220"/>
    <w:rsid w:val="00C566AD"/>
    <w:rsid w:val="00C61DAE"/>
    <w:rsid w:val="00C759B6"/>
    <w:rsid w:val="00C77FE3"/>
    <w:rsid w:val="00C84255"/>
    <w:rsid w:val="00C9052A"/>
    <w:rsid w:val="00C93719"/>
    <w:rsid w:val="00C94AEE"/>
    <w:rsid w:val="00C962C1"/>
    <w:rsid w:val="00C96918"/>
    <w:rsid w:val="00C97D8A"/>
    <w:rsid w:val="00CA2752"/>
    <w:rsid w:val="00CA4E12"/>
    <w:rsid w:val="00CA7235"/>
    <w:rsid w:val="00CB5745"/>
    <w:rsid w:val="00CC1AD2"/>
    <w:rsid w:val="00CC203A"/>
    <w:rsid w:val="00CC4997"/>
    <w:rsid w:val="00CC4B3E"/>
    <w:rsid w:val="00CC51E5"/>
    <w:rsid w:val="00CD6874"/>
    <w:rsid w:val="00CE6D0C"/>
    <w:rsid w:val="00CF139A"/>
    <w:rsid w:val="00D009A7"/>
    <w:rsid w:val="00D0518C"/>
    <w:rsid w:val="00D07B1E"/>
    <w:rsid w:val="00D1259A"/>
    <w:rsid w:val="00D15EB7"/>
    <w:rsid w:val="00D22944"/>
    <w:rsid w:val="00D27802"/>
    <w:rsid w:val="00D320E4"/>
    <w:rsid w:val="00D43C4E"/>
    <w:rsid w:val="00D46F09"/>
    <w:rsid w:val="00D4701C"/>
    <w:rsid w:val="00D523A4"/>
    <w:rsid w:val="00D552B6"/>
    <w:rsid w:val="00D56537"/>
    <w:rsid w:val="00D6233D"/>
    <w:rsid w:val="00D75DEF"/>
    <w:rsid w:val="00D87601"/>
    <w:rsid w:val="00D9270D"/>
    <w:rsid w:val="00DB2E81"/>
    <w:rsid w:val="00DB4B25"/>
    <w:rsid w:val="00DC6232"/>
    <w:rsid w:val="00DD0E6E"/>
    <w:rsid w:val="00DD7A9B"/>
    <w:rsid w:val="00DE1D3D"/>
    <w:rsid w:val="00DF2416"/>
    <w:rsid w:val="00DF4701"/>
    <w:rsid w:val="00E05B0F"/>
    <w:rsid w:val="00E12089"/>
    <w:rsid w:val="00E12A75"/>
    <w:rsid w:val="00E166E2"/>
    <w:rsid w:val="00E17EAB"/>
    <w:rsid w:val="00E521B4"/>
    <w:rsid w:val="00E574F3"/>
    <w:rsid w:val="00E70EC4"/>
    <w:rsid w:val="00E7555D"/>
    <w:rsid w:val="00E763F1"/>
    <w:rsid w:val="00E83152"/>
    <w:rsid w:val="00E957D8"/>
    <w:rsid w:val="00E970BD"/>
    <w:rsid w:val="00E973D5"/>
    <w:rsid w:val="00EA3DAB"/>
    <w:rsid w:val="00EB3D43"/>
    <w:rsid w:val="00EB521A"/>
    <w:rsid w:val="00EB5789"/>
    <w:rsid w:val="00EC38BF"/>
    <w:rsid w:val="00EE08CF"/>
    <w:rsid w:val="00EE0E9C"/>
    <w:rsid w:val="00EE4B43"/>
    <w:rsid w:val="00EE786A"/>
    <w:rsid w:val="00EF0C6F"/>
    <w:rsid w:val="00EF4537"/>
    <w:rsid w:val="00EF5941"/>
    <w:rsid w:val="00EF5D24"/>
    <w:rsid w:val="00EF778E"/>
    <w:rsid w:val="00F03813"/>
    <w:rsid w:val="00F05049"/>
    <w:rsid w:val="00F06DB7"/>
    <w:rsid w:val="00F17AE4"/>
    <w:rsid w:val="00F22F32"/>
    <w:rsid w:val="00F2779B"/>
    <w:rsid w:val="00F27874"/>
    <w:rsid w:val="00F4215F"/>
    <w:rsid w:val="00F47F07"/>
    <w:rsid w:val="00F53334"/>
    <w:rsid w:val="00F54273"/>
    <w:rsid w:val="00F65968"/>
    <w:rsid w:val="00F754EF"/>
    <w:rsid w:val="00F7628E"/>
    <w:rsid w:val="00F84877"/>
    <w:rsid w:val="00F8717C"/>
    <w:rsid w:val="00F90B97"/>
    <w:rsid w:val="00F947F1"/>
    <w:rsid w:val="00FB393F"/>
    <w:rsid w:val="00FB6B54"/>
    <w:rsid w:val="00FC034C"/>
    <w:rsid w:val="00FE1641"/>
    <w:rsid w:val="00FE2CA3"/>
    <w:rsid w:val="00FE3603"/>
    <w:rsid w:val="00FE3772"/>
    <w:rsid w:val="00FE3861"/>
    <w:rsid w:val="00FE4AF8"/>
    <w:rsid w:val="00FE73A6"/>
    <w:rsid w:val="00FE753A"/>
    <w:rsid w:val="00FF0D92"/>
    <w:rsid w:val="00FF25CA"/>
    <w:rsid w:val="00FF668F"/>
    <w:rsid w:val="010422C0"/>
    <w:rsid w:val="011CE676"/>
    <w:rsid w:val="01F74E3B"/>
    <w:rsid w:val="02C4D3A5"/>
    <w:rsid w:val="03239B7C"/>
    <w:rsid w:val="034C36D7"/>
    <w:rsid w:val="06E2EB9C"/>
    <w:rsid w:val="09188573"/>
    <w:rsid w:val="0A10ABDC"/>
    <w:rsid w:val="0F2153F7"/>
    <w:rsid w:val="0F957377"/>
    <w:rsid w:val="158F668B"/>
    <w:rsid w:val="161A85B7"/>
    <w:rsid w:val="1796D269"/>
    <w:rsid w:val="1A2F1C91"/>
    <w:rsid w:val="1A828BD0"/>
    <w:rsid w:val="1AC44604"/>
    <w:rsid w:val="1BC267F4"/>
    <w:rsid w:val="21C425A0"/>
    <w:rsid w:val="24B7EE80"/>
    <w:rsid w:val="25E294B9"/>
    <w:rsid w:val="266A59E6"/>
    <w:rsid w:val="26F1602A"/>
    <w:rsid w:val="2F5C14D6"/>
    <w:rsid w:val="315D8865"/>
    <w:rsid w:val="3248CA5C"/>
    <w:rsid w:val="33F0B52D"/>
    <w:rsid w:val="35618145"/>
    <w:rsid w:val="36BE4F04"/>
    <w:rsid w:val="38FA4048"/>
    <w:rsid w:val="3B4CCB96"/>
    <w:rsid w:val="40379C50"/>
    <w:rsid w:val="43BA21B3"/>
    <w:rsid w:val="440D64BC"/>
    <w:rsid w:val="443B8D11"/>
    <w:rsid w:val="44C5B1DD"/>
    <w:rsid w:val="4AD22BCB"/>
    <w:rsid w:val="4CF2DF11"/>
    <w:rsid w:val="4E9FEA99"/>
    <w:rsid w:val="4EF52040"/>
    <w:rsid w:val="523A999C"/>
    <w:rsid w:val="534AC14E"/>
    <w:rsid w:val="536FF7F7"/>
    <w:rsid w:val="53DE5FC1"/>
    <w:rsid w:val="596F1538"/>
    <w:rsid w:val="5E174F41"/>
    <w:rsid w:val="60FAE94C"/>
    <w:rsid w:val="64C010B7"/>
    <w:rsid w:val="667C8EFB"/>
    <w:rsid w:val="6A88A335"/>
    <w:rsid w:val="6AE29E39"/>
    <w:rsid w:val="7047FDED"/>
    <w:rsid w:val="7070A49F"/>
    <w:rsid w:val="7120D7EE"/>
    <w:rsid w:val="74CF0EE6"/>
    <w:rsid w:val="762ED1FD"/>
    <w:rsid w:val="77ED7C30"/>
    <w:rsid w:val="781689B9"/>
    <w:rsid w:val="7A3823B0"/>
    <w:rsid w:val="7B84C158"/>
    <w:rsid w:val="7CCB71F0"/>
    <w:rsid w:val="7D1B28A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7890DB"/>
  <w15:chartTrackingRefBased/>
  <w15:docId w15:val="{B25B1C6F-067F-40E4-BB7F-C5135940B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0DD7"/>
    <w:pPr>
      <w:widowControl w:val="0"/>
      <w:autoSpaceDE w:val="0"/>
      <w:autoSpaceDN w:val="0"/>
      <w:spacing w:after="0" w:line="240" w:lineRule="auto"/>
    </w:pPr>
    <w:rPr>
      <w:rFonts w:ascii="Gill Sans MT" w:eastAsia="Gill Sans MT" w:hAnsi="Gill Sans MT" w:cs="Gill Sans MT"/>
      <w:lang w:bidi="en-US"/>
    </w:rPr>
  </w:style>
  <w:style w:type="paragraph" w:styleId="Heading1">
    <w:name w:val="heading 1"/>
    <w:basedOn w:val="Normal"/>
    <w:next w:val="Normal"/>
    <w:link w:val="Heading1Char"/>
    <w:uiPriority w:val="9"/>
    <w:qFormat/>
    <w:rsid w:val="005414A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D4B94"/>
    <w:pPr>
      <w:keepNext/>
      <w:keepLines/>
      <w:widowControl/>
      <w:autoSpaceDE/>
      <w:autoSpaceDN/>
      <w:spacing w:before="40" w:line="360" w:lineRule="auto"/>
      <w:jc w:val="both"/>
      <w:outlineLvl w:val="1"/>
    </w:pPr>
    <w:rPr>
      <w:rFonts w:ascii="Arial" w:eastAsiaTheme="majorEastAsia" w:hAnsi="Arial" w:cs="Arial"/>
      <w:color w:val="2F5496" w:themeColor="accent1" w:themeShade="BF"/>
      <w:sz w:val="26"/>
      <w:szCs w:val="26"/>
      <w:lang w:bidi="ar-SA"/>
    </w:rPr>
  </w:style>
  <w:style w:type="paragraph" w:styleId="Heading3">
    <w:name w:val="heading 3"/>
    <w:basedOn w:val="Normal"/>
    <w:next w:val="Normal"/>
    <w:link w:val="Heading3Char"/>
    <w:uiPriority w:val="9"/>
    <w:unhideWhenUsed/>
    <w:qFormat/>
    <w:rsid w:val="005414A9"/>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0512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90DD7"/>
    <w:pPr>
      <w:spacing w:after="0" w:line="240" w:lineRule="auto"/>
    </w:pPr>
    <w:rPr>
      <w:rFonts w:eastAsiaTheme="minorEastAsia"/>
    </w:rPr>
  </w:style>
  <w:style w:type="character" w:customStyle="1" w:styleId="NoSpacingChar">
    <w:name w:val="No Spacing Char"/>
    <w:basedOn w:val="DefaultParagraphFont"/>
    <w:link w:val="NoSpacing"/>
    <w:uiPriority w:val="1"/>
    <w:rsid w:val="00090DD7"/>
    <w:rPr>
      <w:rFonts w:eastAsiaTheme="minorEastAsia"/>
    </w:rPr>
  </w:style>
  <w:style w:type="character" w:customStyle="1" w:styleId="Heading1Char">
    <w:name w:val="Heading 1 Char"/>
    <w:basedOn w:val="DefaultParagraphFont"/>
    <w:link w:val="Heading1"/>
    <w:uiPriority w:val="9"/>
    <w:rsid w:val="005414A9"/>
    <w:rPr>
      <w:rFonts w:asciiTheme="majorHAnsi" w:eastAsiaTheme="majorEastAsia" w:hAnsiTheme="majorHAnsi" w:cstheme="majorBidi"/>
      <w:color w:val="2F5496" w:themeColor="accent1" w:themeShade="BF"/>
      <w:sz w:val="32"/>
      <w:szCs w:val="32"/>
      <w:lang w:bidi="en-US"/>
    </w:rPr>
  </w:style>
  <w:style w:type="character" w:customStyle="1" w:styleId="Heading3Char">
    <w:name w:val="Heading 3 Char"/>
    <w:basedOn w:val="DefaultParagraphFont"/>
    <w:link w:val="Heading3"/>
    <w:uiPriority w:val="9"/>
    <w:rsid w:val="005414A9"/>
    <w:rPr>
      <w:rFonts w:asciiTheme="majorHAnsi" w:eastAsiaTheme="majorEastAsia" w:hAnsiTheme="majorHAnsi" w:cstheme="majorBidi"/>
      <w:color w:val="1F3763" w:themeColor="accent1" w:themeShade="7F"/>
      <w:sz w:val="24"/>
      <w:szCs w:val="24"/>
      <w:lang w:bidi="en-US"/>
    </w:rPr>
  </w:style>
  <w:style w:type="character" w:customStyle="1" w:styleId="Heading2Char">
    <w:name w:val="Heading 2 Char"/>
    <w:basedOn w:val="DefaultParagraphFont"/>
    <w:link w:val="Heading2"/>
    <w:uiPriority w:val="9"/>
    <w:rsid w:val="006D4B94"/>
    <w:rPr>
      <w:rFonts w:ascii="Arial" w:eastAsiaTheme="majorEastAsia" w:hAnsi="Arial" w:cs="Arial"/>
      <w:color w:val="2F5496" w:themeColor="accent1" w:themeShade="BF"/>
      <w:sz w:val="26"/>
      <w:szCs w:val="26"/>
    </w:rPr>
  </w:style>
  <w:style w:type="character" w:customStyle="1" w:styleId="Heading4Char">
    <w:name w:val="Heading 4 Char"/>
    <w:basedOn w:val="DefaultParagraphFont"/>
    <w:link w:val="Heading4"/>
    <w:uiPriority w:val="9"/>
    <w:rsid w:val="0010512A"/>
    <w:rPr>
      <w:rFonts w:asciiTheme="majorHAnsi" w:eastAsiaTheme="majorEastAsia" w:hAnsiTheme="majorHAnsi" w:cstheme="majorBidi"/>
      <w:i/>
      <w:iCs/>
      <w:color w:val="2F5496" w:themeColor="accent1" w:themeShade="BF"/>
      <w:lang w:bidi="en-US"/>
    </w:rPr>
  </w:style>
  <w:style w:type="character" w:styleId="CommentReference">
    <w:name w:val="annotation reference"/>
    <w:basedOn w:val="DefaultParagraphFont"/>
    <w:uiPriority w:val="99"/>
    <w:semiHidden/>
    <w:unhideWhenUsed/>
    <w:rsid w:val="008D0CE5"/>
    <w:rPr>
      <w:sz w:val="16"/>
      <w:szCs w:val="16"/>
    </w:rPr>
  </w:style>
  <w:style w:type="paragraph" w:styleId="CommentText">
    <w:name w:val="annotation text"/>
    <w:basedOn w:val="Normal"/>
    <w:link w:val="CommentTextChar"/>
    <w:uiPriority w:val="99"/>
    <w:semiHidden/>
    <w:unhideWhenUsed/>
    <w:rsid w:val="008D0CE5"/>
    <w:rPr>
      <w:sz w:val="20"/>
      <w:szCs w:val="20"/>
    </w:rPr>
  </w:style>
  <w:style w:type="character" w:customStyle="1" w:styleId="CommentTextChar">
    <w:name w:val="Comment Text Char"/>
    <w:basedOn w:val="DefaultParagraphFont"/>
    <w:link w:val="CommentText"/>
    <w:uiPriority w:val="99"/>
    <w:semiHidden/>
    <w:rsid w:val="008D0CE5"/>
    <w:rPr>
      <w:rFonts w:ascii="Gill Sans MT" w:eastAsia="Gill Sans MT" w:hAnsi="Gill Sans MT" w:cs="Gill Sans MT"/>
      <w:sz w:val="20"/>
      <w:szCs w:val="20"/>
      <w:lang w:bidi="en-US"/>
    </w:rPr>
  </w:style>
  <w:style w:type="paragraph" w:styleId="CommentSubject">
    <w:name w:val="annotation subject"/>
    <w:basedOn w:val="CommentText"/>
    <w:next w:val="CommentText"/>
    <w:link w:val="CommentSubjectChar"/>
    <w:uiPriority w:val="99"/>
    <w:semiHidden/>
    <w:unhideWhenUsed/>
    <w:rsid w:val="008D0CE5"/>
    <w:rPr>
      <w:b/>
      <w:bCs/>
    </w:rPr>
  </w:style>
  <w:style w:type="character" w:customStyle="1" w:styleId="CommentSubjectChar">
    <w:name w:val="Comment Subject Char"/>
    <w:basedOn w:val="CommentTextChar"/>
    <w:link w:val="CommentSubject"/>
    <w:uiPriority w:val="99"/>
    <w:semiHidden/>
    <w:rsid w:val="008D0CE5"/>
    <w:rPr>
      <w:rFonts w:ascii="Gill Sans MT" w:eastAsia="Gill Sans MT" w:hAnsi="Gill Sans MT" w:cs="Gill Sans MT"/>
      <w:b/>
      <w:bCs/>
      <w:sz w:val="20"/>
      <w:szCs w:val="20"/>
      <w:lang w:bidi="en-US"/>
    </w:rPr>
  </w:style>
  <w:style w:type="paragraph" w:styleId="BalloonText">
    <w:name w:val="Balloon Text"/>
    <w:basedOn w:val="Normal"/>
    <w:link w:val="BalloonTextChar"/>
    <w:uiPriority w:val="99"/>
    <w:semiHidden/>
    <w:unhideWhenUsed/>
    <w:rsid w:val="008D0C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0CE5"/>
    <w:rPr>
      <w:rFonts w:ascii="Segoe UI" w:eastAsia="Gill Sans MT" w:hAnsi="Segoe UI" w:cs="Segoe UI"/>
      <w:sz w:val="18"/>
      <w:szCs w:val="18"/>
      <w:lang w:bidi="en-US"/>
    </w:rPr>
  </w:style>
  <w:style w:type="paragraph" w:styleId="ListParagraph">
    <w:name w:val="List Paragraph"/>
    <w:aliases w:val="Table/Figure Heading,List Paragraph (numbered (a)),Lapis Bulleted List,Dot pt,F5 List Paragraph,List Paragraph1,No Spacing1,List Paragraph Char Char Char,Indicator Text,Numbered Para 1,Bullet 1,List Paragraph12,Bullet Points,MAIN CONTENT"/>
    <w:basedOn w:val="Normal"/>
    <w:link w:val="ListParagraphChar"/>
    <w:uiPriority w:val="34"/>
    <w:qFormat/>
    <w:rsid w:val="00552002"/>
    <w:pPr>
      <w:widowControl/>
      <w:autoSpaceDE/>
      <w:autoSpaceDN/>
      <w:spacing w:after="160" w:line="259" w:lineRule="auto"/>
      <w:ind w:left="720"/>
      <w:contextualSpacing/>
    </w:pPr>
    <w:rPr>
      <w:rFonts w:asciiTheme="minorHAnsi" w:eastAsiaTheme="minorHAnsi" w:hAnsiTheme="minorHAnsi" w:cstheme="minorBidi"/>
      <w:lang w:bidi="ar-SA"/>
    </w:rPr>
  </w:style>
  <w:style w:type="paragraph" w:styleId="NormalWeb">
    <w:name w:val="Normal (Web)"/>
    <w:basedOn w:val="Normal"/>
    <w:uiPriority w:val="99"/>
    <w:unhideWhenUsed/>
    <w:rsid w:val="00552002"/>
    <w:pPr>
      <w:widowControl/>
      <w:autoSpaceDE/>
      <w:autoSpaceDN/>
      <w:spacing w:before="100" w:beforeAutospacing="1" w:after="100" w:afterAutospacing="1"/>
    </w:pPr>
    <w:rPr>
      <w:rFonts w:ascii="Times New Roman" w:eastAsia="Times New Roman" w:hAnsi="Times New Roman" w:cs="Times New Roman"/>
      <w:sz w:val="24"/>
      <w:szCs w:val="24"/>
      <w:lang w:val="pt-PT" w:eastAsia="pt-PT" w:bidi="ar-SA"/>
    </w:rPr>
  </w:style>
  <w:style w:type="paragraph" w:styleId="PlainText">
    <w:name w:val="Plain Text"/>
    <w:basedOn w:val="Normal"/>
    <w:link w:val="PlainTextChar"/>
    <w:uiPriority w:val="99"/>
    <w:unhideWhenUsed/>
    <w:rsid w:val="00F06DB7"/>
    <w:pPr>
      <w:widowControl/>
      <w:autoSpaceDE/>
      <w:autoSpaceDN/>
    </w:pPr>
    <w:rPr>
      <w:rFonts w:ascii="Calibri" w:eastAsiaTheme="minorHAnsi" w:hAnsi="Calibri" w:cstheme="minorBidi"/>
      <w:szCs w:val="21"/>
      <w:lang w:bidi="ar-SA"/>
    </w:rPr>
  </w:style>
  <w:style w:type="character" w:customStyle="1" w:styleId="PlainTextChar">
    <w:name w:val="Plain Text Char"/>
    <w:basedOn w:val="DefaultParagraphFont"/>
    <w:link w:val="PlainText"/>
    <w:uiPriority w:val="99"/>
    <w:rsid w:val="00F06DB7"/>
    <w:rPr>
      <w:rFonts w:ascii="Calibri" w:hAnsi="Calibri"/>
      <w:szCs w:val="21"/>
    </w:rPr>
  </w:style>
  <w:style w:type="character" w:styleId="Hyperlink">
    <w:name w:val="Hyperlink"/>
    <w:basedOn w:val="DefaultParagraphFont"/>
    <w:uiPriority w:val="99"/>
    <w:unhideWhenUsed/>
    <w:rsid w:val="00F06DB7"/>
    <w:rPr>
      <w:color w:val="0563C1"/>
      <w:u w:val="single"/>
    </w:rPr>
  </w:style>
  <w:style w:type="paragraph" w:styleId="FootnoteText">
    <w:name w:val="footnote text"/>
    <w:aliases w:val="Char,single space,footnote text,fn,Footnote Text Char2 Char,Footnote Text Char1 Char Char,Footnote Text Char2 Char Char Char,Footnote Text Char1 Char Char Char Char,Footnote Text Char2 Char Char Char Char Char,ALTS FOOTNOTE,ft,FOOTNOTES,AD"/>
    <w:basedOn w:val="Normal"/>
    <w:link w:val="FootnoteTextChar"/>
    <w:semiHidden/>
    <w:unhideWhenUsed/>
    <w:rsid w:val="00C93719"/>
    <w:pPr>
      <w:widowControl/>
      <w:autoSpaceDE/>
      <w:autoSpaceDN/>
      <w:jc w:val="both"/>
    </w:pPr>
    <w:rPr>
      <w:rFonts w:ascii="Calibri" w:eastAsia="Calibri" w:hAnsi="Calibri" w:cs="Times New Roman"/>
      <w:sz w:val="20"/>
      <w:szCs w:val="20"/>
      <w:lang w:bidi="ar-SA"/>
    </w:rPr>
  </w:style>
  <w:style w:type="character" w:customStyle="1" w:styleId="FootnoteTextChar">
    <w:name w:val="Footnote Text Char"/>
    <w:aliases w:val="Char Char,single space Char,footnote text Char,fn Char,Footnote Text Char2 Char Char,Footnote Text Char1 Char Char Char,Footnote Text Char2 Char Char Char Char,Footnote Text Char1 Char Char Char Char Char,ALTS FOOTNOTE Char,ft Char"/>
    <w:basedOn w:val="DefaultParagraphFont"/>
    <w:link w:val="FootnoteText"/>
    <w:semiHidden/>
    <w:rsid w:val="00C93719"/>
    <w:rPr>
      <w:rFonts w:ascii="Calibri" w:eastAsia="Calibri" w:hAnsi="Calibri" w:cs="Times New Roman"/>
      <w:sz w:val="20"/>
      <w:szCs w:val="20"/>
    </w:rPr>
  </w:style>
  <w:style w:type="character" w:styleId="FootnoteReference">
    <w:name w:val="footnote reference"/>
    <w:aliases w:val="ftref,16 Point,Superscript 6 Point,Footnote Reference Number"/>
    <w:basedOn w:val="DefaultParagraphFont"/>
    <w:semiHidden/>
    <w:unhideWhenUsed/>
    <w:rsid w:val="00C93719"/>
    <w:rPr>
      <w:vertAlign w:val="superscript"/>
    </w:rPr>
  </w:style>
  <w:style w:type="character" w:customStyle="1" w:styleId="ListParagraphChar">
    <w:name w:val="List Paragraph Char"/>
    <w:aliases w:val="Table/Figure Heading Char,List Paragraph (numbered (a)) Char,Lapis Bulleted List Char,Dot pt Char,F5 List Paragraph Char,List Paragraph1 Char,No Spacing1 Char,List Paragraph Char Char Char Char,Indicator Text Char,Bullet 1 Char"/>
    <w:basedOn w:val="DefaultParagraphFont"/>
    <w:link w:val="ListParagraph"/>
    <w:uiPriority w:val="34"/>
    <w:qFormat/>
    <w:rsid w:val="00C93719"/>
  </w:style>
  <w:style w:type="paragraph" w:styleId="TOCHeading">
    <w:name w:val="TOC Heading"/>
    <w:basedOn w:val="Heading1"/>
    <w:next w:val="Normal"/>
    <w:uiPriority w:val="39"/>
    <w:unhideWhenUsed/>
    <w:qFormat/>
    <w:rsid w:val="009C68A6"/>
    <w:pPr>
      <w:widowControl/>
      <w:autoSpaceDE/>
      <w:autoSpaceDN/>
      <w:spacing w:line="259" w:lineRule="auto"/>
      <w:outlineLvl w:val="9"/>
    </w:pPr>
    <w:rPr>
      <w:lang w:bidi="ar-SA"/>
    </w:rPr>
  </w:style>
  <w:style w:type="paragraph" w:styleId="TOC1">
    <w:name w:val="toc 1"/>
    <w:basedOn w:val="Normal"/>
    <w:next w:val="Normal"/>
    <w:autoRedefine/>
    <w:uiPriority w:val="39"/>
    <w:unhideWhenUsed/>
    <w:rsid w:val="009C68A6"/>
    <w:pPr>
      <w:spacing w:after="100"/>
    </w:pPr>
  </w:style>
  <w:style w:type="paragraph" w:styleId="TOC2">
    <w:name w:val="toc 2"/>
    <w:basedOn w:val="Normal"/>
    <w:next w:val="Normal"/>
    <w:autoRedefine/>
    <w:uiPriority w:val="39"/>
    <w:unhideWhenUsed/>
    <w:rsid w:val="009C68A6"/>
    <w:pPr>
      <w:spacing w:after="100"/>
      <w:ind w:left="220"/>
    </w:pPr>
  </w:style>
  <w:style w:type="paragraph" w:styleId="TOC3">
    <w:name w:val="toc 3"/>
    <w:basedOn w:val="Normal"/>
    <w:next w:val="Normal"/>
    <w:autoRedefine/>
    <w:uiPriority w:val="39"/>
    <w:unhideWhenUsed/>
    <w:rsid w:val="009C68A6"/>
    <w:pPr>
      <w:spacing w:after="100"/>
      <w:ind w:left="440"/>
    </w:pPr>
  </w:style>
  <w:style w:type="paragraph" w:styleId="Revision">
    <w:name w:val="Revision"/>
    <w:hidden/>
    <w:uiPriority w:val="99"/>
    <w:semiHidden/>
    <w:rsid w:val="00C2758B"/>
    <w:pPr>
      <w:spacing w:after="0" w:line="240" w:lineRule="auto"/>
    </w:pPr>
    <w:rPr>
      <w:rFonts w:ascii="Gill Sans MT" w:eastAsia="Gill Sans MT" w:hAnsi="Gill Sans MT" w:cs="Gill Sans MT"/>
      <w:lang w:bidi="en-US"/>
    </w:rPr>
  </w:style>
  <w:style w:type="paragraph" w:customStyle="1" w:styleId="Default">
    <w:name w:val="Default"/>
    <w:basedOn w:val="Normal"/>
    <w:rsid w:val="00151F46"/>
    <w:pPr>
      <w:widowControl/>
    </w:pPr>
    <w:rPr>
      <w:rFonts w:ascii="Calibri" w:eastAsiaTheme="minorHAnsi" w:hAnsi="Calibri" w:cs="Calibri"/>
      <w:color w:val="000000"/>
      <w:sz w:val="24"/>
      <w:szCs w:val="24"/>
      <w:lang w:bidi="ar-SA"/>
    </w:rPr>
  </w:style>
  <w:style w:type="paragraph" w:styleId="Header">
    <w:name w:val="header"/>
    <w:basedOn w:val="Normal"/>
    <w:link w:val="HeaderChar"/>
    <w:uiPriority w:val="99"/>
    <w:unhideWhenUsed/>
    <w:rsid w:val="00397AF3"/>
    <w:pPr>
      <w:tabs>
        <w:tab w:val="center" w:pos="4680"/>
        <w:tab w:val="right" w:pos="9360"/>
      </w:tabs>
    </w:pPr>
  </w:style>
  <w:style w:type="character" w:customStyle="1" w:styleId="HeaderChar">
    <w:name w:val="Header Char"/>
    <w:basedOn w:val="DefaultParagraphFont"/>
    <w:link w:val="Header"/>
    <w:uiPriority w:val="99"/>
    <w:rsid w:val="00397AF3"/>
    <w:rPr>
      <w:rFonts w:ascii="Gill Sans MT" w:eastAsia="Gill Sans MT" w:hAnsi="Gill Sans MT" w:cs="Gill Sans MT"/>
      <w:lang w:bidi="en-US"/>
    </w:rPr>
  </w:style>
  <w:style w:type="paragraph" w:styleId="Footer">
    <w:name w:val="footer"/>
    <w:basedOn w:val="Normal"/>
    <w:link w:val="FooterChar"/>
    <w:uiPriority w:val="99"/>
    <w:unhideWhenUsed/>
    <w:rsid w:val="00397AF3"/>
    <w:pPr>
      <w:tabs>
        <w:tab w:val="center" w:pos="4680"/>
        <w:tab w:val="right" w:pos="9360"/>
      </w:tabs>
    </w:pPr>
  </w:style>
  <w:style w:type="character" w:customStyle="1" w:styleId="FooterChar">
    <w:name w:val="Footer Char"/>
    <w:basedOn w:val="DefaultParagraphFont"/>
    <w:link w:val="Footer"/>
    <w:uiPriority w:val="99"/>
    <w:rsid w:val="00397AF3"/>
    <w:rPr>
      <w:rFonts w:ascii="Gill Sans MT" w:eastAsia="Gill Sans MT" w:hAnsi="Gill Sans MT" w:cs="Gill Sans MT"/>
      <w:lang w:bidi="en-US"/>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unhideWhenUsed/>
    <w:qFormat/>
    <w:rsid w:val="00087269"/>
    <w:pPr>
      <w:widowControl/>
      <w:autoSpaceDE/>
      <w:autoSpaceDN/>
      <w:spacing w:after="200"/>
    </w:pPr>
    <w:rPr>
      <w:rFonts w:asciiTheme="minorHAnsi" w:eastAsiaTheme="minorHAnsi" w:hAnsiTheme="minorHAnsi" w:cstheme="minorBidi"/>
      <w:i/>
      <w:iCs/>
      <w:color w:val="44546A" w:themeColor="text2"/>
      <w:sz w:val="18"/>
      <w:szCs w:val="18"/>
      <w:lang w:bidi="ar-SA"/>
    </w:rPr>
  </w:style>
  <w:style w:type="character" w:styleId="UnresolvedMention">
    <w:name w:val="Unresolved Mention"/>
    <w:basedOn w:val="DefaultParagraphFont"/>
    <w:uiPriority w:val="99"/>
    <w:semiHidden/>
    <w:unhideWhenUsed/>
    <w:rsid w:val="005A4D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5244671">
      <w:bodyDiv w:val="1"/>
      <w:marLeft w:val="0"/>
      <w:marRight w:val="0"/>
      <w:marTop w:val="0"/>
      <w:marBottom w:val="0"/>
      <w:divBdr>
        <w:top w:val="none" w:sz="0" w:space="0" w:color="auto"/>
        <w:left w:val="none" w:sz="0" w:space="0" w:color="auto"/>
        <w:bottom w:val="none" w:sz="0" w:space="0" w:color="auto"/>
        <w:right w:val="none" w:sz="0" w:space="0" w:color="auto"/>
      </w:divBdr>
    </w:div>
    <w:div w:id="1135297378">
      <w:bodyDiv w:val="1"/>
      <w:marLeft w:val="0"/>
      <w:marRight w:val="0"/>
      <w:marTop w:val="0"/>
      <w:marBottom w:val="0"/>
      <w:divBdr>
        <w:top w:val="none" w:sz="0" w:space="0" w:color="auto"/>
        <w:left w:val="none" w:sz="0" w:space="0" w:color="auto"/>
        <w:bottom w:val="none" w:sz="0" w:space="0" w:color="auto"/>
        <w:right w:val="none" w:sz="0" w:space="0" w:color="auto"/>
      </w:divBdr>
    </w:div>
    <w:div w:id="1277366835">
      <w:bodyDiv w:val="1"/>
      <w:marLeft w:val="0"/>
      <w:marRight w:val="0"/>
      <w:marTop w:val="0"/>
      <w:marBottom w:val="0"/>
      <w:divBdr>
        <w:top w:val="none" w:sz="0" w:space="0" w:color="auto"/>
        <w:left w:val="none" w:sz="0" w:space="0" w:color="auto"/>
        <w:bottom w:val="none" w:sz="0" w:space="0" w:color="auto"/>
        <w:right w:val="none" w:sz="0" w:space="0" w:color="auto"/>
      </w:divBdr>
    </w:div>
    <w:div w:id="1866944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6.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cid:image011.png@01D72A24.CCB9D900" TargetMode="External"/><Relationship Id="rId47" Type="http://schemas.openxmlformats.org/officeDocument/2006/relationships/image" Target="media/image32.emf"/><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image" Target="media/image27.png"/><Relationship Id="rId54" Type="http://schemas.openxmlformats.org/officeDocument/2006/relationships/image" Target="media/image39.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cid:image010.png@01D72A24.CCB9D900" TargetMode="External"/><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hyperlink" Target="https://www.undp.org/content/undp/en/home/news-centre/news/2020/Human_Development_Report_2020.html"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cid:image009.png@01D72A24.CCB9D900" TargetMode="External"/><Relationship Id="rId49" Type="http://schemas.openxmlformats.org/officeDocument/2006/relationships/image" Target="media/image34.png"/><Relationship Id="rId57" Type="http://schemas.openxmlformats.org/officeDocument/2006/relationships/image" Target="media/image42.jpeg"/><Relationship Id="rId61" Type="http://schemas.openxmlformats.org/officeDocument/2006/relationships/image" Target="media/image45.pn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29.jpeg"/><Relationship Id="rId52" Type="http://schemas.openxmlformats.org/officeDocument/2006/relationships/image" Target="media/image37.png"/><Relationship Id="rId60" Type="http://schemas.openxmlformats.org/officeDocument/2006/relationships/image" Target="media/image4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jpeg"/><Relationship Id="rId8" Type="http://schemas.openxmlformats.org/officeDocument/2006/relationships/webSettings" Target="webSettings.xml"/><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cid:image008.png@01D72A24.CCB9D900" TargetMode="External"/><Relationship Id="rId46" Type="http://schemas.openxmlformats.org/officeDocument/2006/relationships/image" Target="media/image31.png"/><Relationship Id="rId59" Type="http://schemas.openxmlformats.org/officeDocument/2006/relationships/image" Target="media/image4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0BE6FCC58F47F448876CF14C7902A33" ma:contentTypeVersion="11" ma:contentTypeDescription="Create a new document." ma:contentTypeScope="" ma:versionID="c11dce779222065deeede00f34834028">
  <xsd:schema xmlns:xsd="http://www.w3.org/2001/XMLSchema" xmlns:xs="http://www.w3.org/2001/XMLSchema" xmlns:p="http://schemas.microsoft.com/office/2006/metadata/properties" xmlns:ns2="b4c4a20e-4d5d-4a00-a80f-c02daf9fd557" xmlns:ns3="b844176a-2e1e-4910-88cf-c2e4bfcd214e" targetNamespace="http://schemas.microsoft.com/office/2006/metadata/properties" ma:root="true" ma:fieldsID="ef0ecaebb7d36cd2343898a7f8fd73de" ns2:_="" ns3:_="">
    <xsd:import namespace="b4c4a20e-4d5d-4a00-a80f-c02daf9fd557"/>
    <xsd:import namespace="b844176a-2e1e-4910-88cf-c2e4bfcd214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c4a20e-4d5d-4a00-a80f-c02daf9fd5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44176a-2e1e-4910-88cf-c2e4bfcd214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14D50-CA59-461C-8E2F-1417F073E3B6}">
  <ds:schemaRefs>
    <ds:schemaRef ds:uri="http://schemas.openxmlformats.org/officeDocument/2006/bibliography"/>
  </ds:schemaRefs>
</ds:datastoreItem>
</file>

<file path=customXml/itemProps2.xml><?xml version="1.0" encoding="utf-8"?>
<ds:datastoreItem xmlns:ds="http://schemas.openxmlformats.org/officeDocument/2006/customXml" ds:itemID="{AABD41BE-4B8C-4598-95D2-006953A3282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FA37737-A4F5-4746-99B6-D9C0387C3CFE}"/>
</file>

<file path=customXml/itemProps4.xml><?xml version="1.0" encoding="utf-8"?>
<ds:datastoreItem xmlns:ds="http://schemas.openxmlformats.org/officeDocument/2006/customXml" ds:itemID="{65718107-F7CB-4C63-8BE4-9D110CE7A83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37</Pages>
  <Words>12645</Words>
  <Characters>72078</Characters>
  <Application>Microsoft Office Word</Application>
  <DocSecurity>0</DocSecurity>
  <Lines>600</Lines>
  <Paragraphs>169</Paragraphs>
  <ScaleCrop>false</ScaleCrop>
  <HeadingPairs>
    <vt:vector size="2" baseType="variant">
      <vt:variant>
        <vt:lpstr>Title</vt:lpstr>
      </vt:variant>
      <vt:variant>
        <vt:i4>1</vt:i4>
      </vt:variant>
    </vt:vector>
  </HeadingPairs>
  <TitlesOfParts>
    <vt:vector size="1" baseType="lpstr">
      <vt:lpstr/>
    </vt:vector>
  </TitlesOfParts>
  <Company>United nations mozambuqye</Company>
  <LinksUpToDate>false</LinksUpToDate>
  <CharactersWithSpaces>84554</CharactersWithSpaces>
  <SharedDoc>false</SharedDoc>
  <HLinks>
    <vt:vector size="168" baseType="variant">
      <vt:variant>
        <vt:i4>1376315</vt:i4>
      </vt:variant>
      <vt:variant>
        <vt:i4>164</vt:i4>
      </vt:variant>
      <vt:variant>
        <vt:i4>0</vt:i4>
      </vt:variant>
      <vt:variant>
        <vt:i4>5</vt:i4>
      </vt:variant>
      <vt:variant>
        <vt:lpwstr/>
      </vt:variant>
      <vt:variant>
        <vt:lpwstr>_Toc71124392</vt:lpwstr>
      </vt:variant>
      <vt:variant>
        <vt:i4>1441851</vt:i4>
      </vt:variant>
      <vt:variant>
        <vt:i4>158</vt:i4>
      </vt:variant>
      <vt:variant>
        <vt:i4>0</vt:i4>
      </vt:variant>
      <vt:variant>
        <vt:i4>5</vt:i4>
      </vt:variant>
      <vt:variant>
        <vt:lpwstr/>
      </vt:variant>
      <vt:variant>
        <vt:lpwstr>_Toc71124391</vt:lpwstr>
      </vt:variant>
      <vt:variant>
        <vt:i4>1507387</vt:i4>
      </vt:variant>
      <vt:variant>
        <vt:i4>152</vt:i4>
      </vt:variant>
      <vt:variant>
        <vt:i4>0</vt:i4>
      </vt:variant>
      <vt:variant>
        <vt:i4>5</vt:i4>
      </vt:variant>
      <vt:variant>
        <vt:lpwstr/>
      </vt:variant>
      <vt:variant>
        <vt:lpwstr>_Toc71124390</vt:lpwstr>
      </vt:variant>
      <vt:variant>
        <vt:i4>1966138</vt:i4>
      </vt:variant>
      <vt:variant>
        <vt:i4>146</vt:i4>
      </vt:variant>
      <vt:variant>
        <vt:i4>0</vt:i4>
      </vt:variant>
      <vt:variant>
        <vt:i4>5</vt:i4>
      </vt:variant>
      <vt:variant>
        <vt:lpwstr/>
      </vt:variant>
      <vt:variant>
        <vt:lpwstr>_Toc71124389</vt:lpwstr>
      </vt:variant>
      <vt:variant>
        <vt:i4>2031674</vt:i4>
      </vt:variant>
      <vt:variant>
        <vt:i4>140</vt:i4>
      </vt:variant>
      <vt:variant>
        <vt:i4>0</vt:i4>
      </vt:variant>
      <vt:variant>
        <vt:i4>5</vt:i4>
      </vt:variant>
      <vt:variant>
        <vt:lpwstr/>
      </vt:variant>
      <vt:variant>
        <vt:lpwstr>_Toc71124388</vt:lpwstr>
      </vt:variant>
      <vt:variant>
        <vt:i4>1048634</vt:i4>
      </vt:variant>
      <vt:variant>
        <vt:i4>134</vt:i4>
      </vt:variant>
      <vt:variant>
        <vt:i4>0</vt:i4>
      </vt:variant>
      <vt:variant>
        <vt:i4>5</vt:i4>
      </vt:variant>
      <vt:variant>
        <vt:lpwstr/>
      </vt:variant>
      <vt:variant>
        <vt:lpwstr>_Toc71124387</vt:lpwstr>
      </vt:variant>
      <vt:variant>
        <vt:i4>1114170</vt:i4>
      </vt:variant>
      <vt:variant>
        <vt:i4>128</vt:i4>
      </vt:variant>
      <vt:variant>
        <vt:i4>0</vt:i4>
      </vt:variant>
      <vt:variant>
        <vt:i4>5</vt:i4>
      </vt:variant>
      <vt:variant>
        <vt:lpwstr/>
      </vt:variant>
      <vt:variant>
        <vt:lpwstr>_Toc71124386</vt:lpwstr>
      </vt:variant>
      <vt:variant>
        <vt:i4>1179706</vt:i4>
      </vt:variant>
      <vt:variant>
        <vt:i4>122</vt:i4>
      </vt:variant>
      <vt:variant>
        <vt:i4>0</vt:i4>
      </vt:variant>
      <vt:variant>
        <vt:i4>5</vt:i4>
      </vt:variant>
      <vt:variant>
        <vt:lpwstr/>
      </vt:variant>
      <vt:variant>
        <vt:lpwstr>_Toc71124385</vt:lpwstr>
      </vt:variant>
      <vt:variant>
        <vt:i4>1245242</vt:i4>
      </vt:variant>
      <vt:variant>
        <vt:i4>116</vt:i4>
      </vt:variant>
      <vt:variant>
        <vt:i4>0</vt:i4>
      </vt:variant>
      <vt:variant>
        <vt:i4>5</vt:i4>
      </vt:variant>
      <vt:variant>
        <vt:lpwstr/>
      </vt:variant>
      <vt:variant>
        <vt:lpwstr>_Toc71124384</vt:lpwstr>
      </vt:variant>
      <vt:variant>
        <vt:i4>1310778</vt:i4>
      </vt:variant>
      <vt:variant>
        <vt:i4>110</vt:i4>
      </vt:variant>
      <vt:variant>
        <vt:i4>0</vt:i4>
      </vt:variant>
      <vt:variant>
        <vt:i4>5</vt:i4>
      </vt:variant>
      <vt:variant>
        <vt:lpwstr/>
      </vt:variant>
      <vt:variant>
        <vt:lpwstr>_Toc71124383</vt:lpwstr>
      </vt:variant>
      <vt:variant>
        <vt:i4>1376314</vt:i4>
      </vt:variant>
      <vt:variant>
        <vt:i4>104</vt:i4>
      </vt:variant>
      <vt:variant>
        <vt:i4>0</vt:i4>
      </vt:variant>
      <vt:variant>
        <vt:i4>5</vt:i4>
      </vt:variant>
      <vt:variant>
        <vt:lpwstr/>
      </vt:variant>
      <vt:variant>
        <vt:lpwstr>_Toc71124382</vt:lpwstr>
      </vt:variant>
      <vt:variant>
        <vt:i4>1441850</vt:i4>
      </vt:variant>
      <vt:variant>
        <vt:i4>98</vt:i4>
      </vt:variant>
      <vt:variant>
        <vt:i4>0</vt:i4>
      </vt:variant>
      <vt:variant>
        <vt:i4>5</vt:i4>
      </vt:variant>
      <vt:variant>
        <vt:lpwstr/>
      </vt:variant>
      <vt:variant>
        <vt:lpwstr>_Toc71124381</vt:lpwstr>
      </vt:variant>
      <vt:variant>
        <vt:i4>1507386</vt:i4>
      </vt:variant>
      <vt:variant>
        <vt:i4>92</vt:i4>
      </vt:variant>
      <vt:variant>
        <vt:i4>0</vt:i4>
      </vt:variant>
      <vt:variant>
        <vt:i4>5</vt:i4>
      </vt:variant>
      <vt:variant>
        <vt:lpwstr/>
      </vt:variant>
      <vt:variant>
        <vt:lpwstr>_Toc71124380</vt:lpwstr>
      </vt:variant>
      <vt:variant>
        <vt:i4>1966133</vt:i4>
      </vt:variant>
      <vt:variant>
        <vt:i4>86</vt:i4>
      </vt:variant>
      <vt:variant>
        <vt:i4>0</vt:i4>
      </vt:variant>
      <vt:variant>
        <vt:i4>5</vt:i4>
      </vt:variant>
      <vt:variant>
        <vt:lpwstr/>
      </vt:variant>
      <vt:variant>
        <vt:lpwstr>_Toc71124379</vt:lpwstr>
      </vt:variant>
      <vt:variant>
        <vt:i4>2031669</vt:i4>
      </vt:variant>
      <vt:variant>
        <vt:i4>80</vt:i4>
      </vt:variant>
      <vt:variant>
        <vt:i4>0</vt:i4>
      </vt:variant>
      <vt:variant>
        <vt:i4>5</vt:i4>
      </vt:variant>
      <vt:variant>
        <vt:lpwstr/>
      </vt:variant>
      <vt:variant>
        <vt:lpwstr>_Toc71124378</vt:lpwstr>
      </vt:variant>
      <vt:variant>
        <vt:i4>1048629</vt:i4>
      </vt:variant>
      <vt:variant>
        <vt:i4>74</vt:i4>
      </vt:variant>
      <vt:variant>
        <vt:i4>0</vt:i4>
      </vt:variant>
      <vt:variant>
        <vt:i4>5</vt:i4>
      </vt:variant>
      <vt:variant>
        <vt:lpwstr/>
      </vt:variant>
      <vt:variant>
        <vt:lpwstr>_Toc71124377</vt:lpwstr>
      </vt:variant>
      <vt:variant>
        <vt:i4>1114165</vt:i4>
      </vt:variant>
      <vt:variant>
        <vt:i4>68</vt:i4>
      </vt:variant>
      <vt:variant>
        <vt:i4>0</vt:i4>
      </vt:variant>
      <vt:variant>
        <vt:i4>5</vt:i4>
      </vt:variant>
      <vt:variant>
        <vt:lpwstr/>
      </vt:variant>
      <vt:variant>
        <vt:lpwstr>_Toc71124376</vt:lpwstr>
      </vt:variant>
      <vt:variant>
        <vt:i4>1179701</vt:i4>
      </vt:variant>
      <vt:variant>
        <vt:i4>62</vt:i4>
      </vt:variant>
      <vt:variant>
        <vt:i4>0</vt:i4>
      </vt:variant>
      <vt:variant>
        <vt:i4>5</vt:i4>
      </vt:variant>
      <vt:variant>
        <vt:lpwstr/>
      </vt:variant>
      <vt:variant>
        <vt:lpwstr>_Toc71124375</vt:lpwstr>
      </vt:variant>
      <vt:variant>
        <vt:i4>1245237</vt:i4>
      </vt:variant>
      <vt:variant>
        <vt:i4>56</vt:i4>
      </vt:variant>
      <vt:variant>
        <vt:i4>0</vt:i4>
      </vt:variant>
      <vt:variant>
        <vt:i4>5</vt:i4>
      </vt:variant>
      <vt:variant>
        <vt:lpwstr/>
      </vt:variant>
      <vt:variant>
        <vt:lpwstr>_Toc71124374</vt:lpwstr>
      </vt:variant>
      <vt:variant>
        <vt:i4>1310773</vt:i4>
      </vt:variant>
      <vt:variant>
        <vt:i4>50</vt:i4>
      </vt:variant>
      <vt:variant>
        <vt:i4>0</vt:i4>
      </vt:variant>
      <vt:variant>
        <vt:i4>5</vt:i4>
      </vt:variant>
      <vt:variant>
        <vt:lpwstr/>
      </vt:variant>
      <vt:variant>
        <vt:lpwstr>_Toc71124373</vt:lpwstr>
      </vt:variant>
      <vt:variant>
        <vt:i4>1376309</vt:i4>
      </vt:variant>
      <vt:variant>
        <vt:i4>44</vt:i4>
      </vt:variant>
      <vt:variant>
        <vt:i4>0</vt:i4>
      </vt:variant>
      <vt:variant>
        <vt:i4>5</vt:i4>
      </vt:variant>
      <vt:variant>
        <vt:lpwstr/>
      </vt:variant>
      <vt:variant>
        <vt:lpwstr>_Toc71124372</vt:lpwstr>
      </vt:variant>
      <vt:variant>
        <vt:i4>1441845</vt:i4>
      </vt:variant>
      <vt:variant>
        <vt:i4>38</vt:i4>
      </vt:variant>
      <vt:variant>
        <vt:i4>0</vt:i4>
      </vt:variant>
      <vt:variant>
        <vt:i4>5</vt:i4>
      </vt:variant>
      <vt:variant>
        <vt:lpwstr/>
      </vt:variant>
      <vt:variant>
        <vt:lpwstr>_Toc71124371</vt:lpwstr>
      </vt:variant>
      <vt:variant>
        <vt:i4>1507381</vt:i4>
      </vt:variant>
      <vt:variant>
        <vt:i4>32</vt:i4>
      </vt:variant>
      <vt:variant>
        <vt:i4>0</vt:i4>
      </vt:variant>
      <vt:variant>
        <vt:i4>5</vt:i4>
      </vt:variant>
      <vt:variant>
        <vt:lpwstr/>
      </vt:variant>
      <vt:variant>
        <vt:lpwstr>_Toc71124370</vt:lpwstr>
      </vt:variant>
      <vt:variant>
        <vt:i4>1966132</vt:i4>
      </vt:variant>
      <vt:variant>
        <vt:i4>26</vt:i4>
      </vt:variant>
      <vt:variant>
        <vt:i4>0</vt:i4>
      </vt:variant>
      <vt:variant>
        <vt:i4>5</vt:i4>
      </vt:variant>
      <vt:variant>
        <vt:lpwstr/>
      </vt:variant>
      <vt:variant>
        <vt:lpwstr>_Toc71124369</vt:lpwstr>
      </vt:variant>
      <vt:variant>
        <vt:i4>2031668</vt:i4>
      </vt:variant>
      <vt:variant>
        <vt:i4>20</vt:i4>
      </vt:variant>
      <vt:variant>
        <vt:i4>0</vt:i4>
      </vt:variant>
      <vt:variant>
        <vt:i4>5</vt:i4>
      </vt:variant>
      <vt:variant>
        <vt:lpwstr/>
      </vt:variant>
      <vt:variant>
        <vt:lpwstr>_Toc71124368</vt:lpwstr>
      </vt:variant>
      <vt:variant>
        <vt:i4>1048628</vt:i4>
      </vt:variant>
      <vt:variant>
        <vt:i4>14</vt:i4>
      </vt:variant>
      <vt:variant>
        <vt:i4>0</vt:i4>
      </vt:variant>
      <vt:variant>
        <vt:i4>5</vt:i4>
      </vt:variant>
      <vt:variant>
        <vt:lpwstr/>
      </vt:variant>
      <vt:variant>
        <vt:lpwstr>_Toc71124367</vt:lpwstr>
      </vt:variant>
      <vt:variant>
        <vt:i4>1114164</vt:i4>
      </vt:variant>
      <vt:variant>
        <vt:i4>8</vt:i4>
      </vt:variant>
      <vt:variant>
        <vt:i4>0</vt:i4>
      </vt:variant>
      <vt:variant>
        <vt:i4>5</vt:i4>
      </vt:variant>
      <vt:variant>
        <vt:lpwstr/>
      </vt:variant>
      <vt:variant>
        <vt:lpwstr>_Toc71124366</vt:lpwstr>
      </vt:variant>
      <vt:variant>
        <vt:i4>1179700</vt:i4>
      </vt:variant>
      <vt:variant>
        <vt:i4>2</vt:i4>
      </vt:variant>
      <vt:variant>
        <vt:i4>0</vt:i4>
      </vt:variant>
      <vt:variant>
        <vt:i4>5</vt:i4>
      </vt:variant>
      <vt:variant>
        <vt:lpwstr/>
      </vt:variant>
      <vt:variant>
        <vt:lpwstr>_Toc71124365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UNCT</dc:creator>
  <cp:keywords/>
  <dc:description/>
  <cp:lastModifiedBy>Mari Matsumoto</cp:lastModifiedBy>
  <cp:revision>2</cp:revision>
  <dcterms:created xsi:type="dcterms:W3CDTF">2021-05-31T17:45:00Z</dcterms:created>
  <dcterms:modified xsi:type="dcterms:W3CDTF">2021-05-31T17:45:00Z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0x01010020BE6FCC58F47F448876CF14C7902A33</vt:lpwstr>
  </property>
</Properties>
</file>