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92" w:rsidRDefault="003712C7" w:rsidP="00B07C92">
      <w:pPr>
        <w:pStyle w:val="NormalWeb"/>
        <w:spacing w:before="0" w:beforeAutospacing="0" w:after="0" w:afterAutospacing="0"/>
        <w:jc w:val="center"/>
        <w:rPr>
          <w:b/>
        </w:rPr>
      </w:pPr>
      <w:r w:rsidRPr="008B119B">
        <w:rPr>
          <w:b/>
        </w:rPr>
        <w:t xml:space="preserve">UNDP’s accountability </w:t>
      </w:r>
      <w:r w:rsidR="004933E2" w:rsidRPr="008B119B">
        <w:rPr>
          <w:b/>
        </w:rPr>
        <w:t>w</w:t>
      </w:r>
      <w:r w:rsidRPr="008B119B">
        <w:rPr>
          <w:b/>
        </w:rPr>
        <w:t>hen acting as Administrative Agent</w:t>
      </w:r>
      <w:r w:rsidR="009701F4" w:rsidRPr="008B119B">
        <w:rPr>
          <w:b/>
        </w:rPr>
        <w:t xml:space="preserve"> </w:t>
      </w:r>
    </w:p>
    <w:p w:rsidR="00B07C92" w:rsidRDefault="003712C7" w:rsidP="00B07C92">
      <w:pPr>
        <w:pStyle w:val="NormalWeb"/>
        <w:spacing w:before="0" w:beforeAutospacing="0" w:after="0" w:afterAutospacing="0"/>
        <w:jc w:val="center"/>
        <w:rPr>
          <w:b/>
        </w:rPr>
      </w:pPr>
      <w:proofErr w:type="gramStart"/>
      <w:r w:rsidRPr="008B119B">
        <w:rPr>
          <w:b/>
        </w:rPr>
        <w:t>in</w:t>
      </w:r>
      <w:proofErr w:type="gramEnd"/>
      <w:r w:rsidRPr="008B119B">
        <w:rPr>
          <w:b/>
        </w:rPr>
        <w:t xml:space="preserve"> Multi-Donor Trust Funds</w:t>
      </w:r>
      <w:r w:rsidR="00B07C92">
        <w:rPr>
          <w:b/>
        </w:rPr>
        <w:t>, One UN Funds</w:t>
      </w:r>
      <w:r w:rsidRPr="008B119B">
        <w:rPr>
          <w:b/>
        </w:rPr>
        <w:t xml:space="preserve"> and/or UN Joint Programmes </w:t>
      </w:r>
    </w:p>
    <w:p w:rsidR="003712C7" w:rsidRDefault="003712C7" w:rsidP="00B07C92">
      <w:pPr>
        <w:pStyle w:val="NormalWeb"/>
        <w:spacing w:before="0" w:beforeAutospacing="0" w:after="0" w:afterAutospacing="0"/>
        <w:jc w:val="center"/>
        <w:rPr>
          <w:b/>
        </w:rPr>
      </w:pPr>
      <w:proofErr w:type="gramStart"/>
      <w:r w:rsidRPr="008B119B">
        <w:rPr>
          <w:b/>
        </w:rPr>
        <w:t>using</w:t>
      </w:r>
      <w:proofErr w:type="gramEnd"/>
      <w:r w:rsidRPr="008B119B">
        <w:rPr>
          <w:b/>
        </w:rPr>
        <w:t xml:space="preserve"> the pass-through </w:t>
      </w:r>
      <w:r w:rsidR="009701F4" w:rsidRPr="008B119B">
        <w:rPr>
          <w:b/>
        </w:rPr>
        <w:t xml:space="preserve">fund management </w:t>
      </w:r>
      <w:r w:rsidRPr="008B119B">
        <w:rPr>
          <w:b/>
        </w:rPr>
        <w:t>modality</w:t>
      </w:r>
    </w:p>
    <w:tbl>
      <w:tblPr>
        <w:tblpPr w:leftFromText="180" w:rightFromText="180" w:vertAnchor="page" w:horzAnchor="margin" w:tblpY="2881"/>
        <w:tblW w:w="42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3172"/>
        <w:gridCol w:w="5046"/>
      </w:tblGrid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2E6730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2E6730">
              <w:rPr>
                <w:rFonts w:ascii="Arial" w:hAnsi="Arial" w:cs="Arial"/>
                <w:b/>
                <w:sz w:val="20"/>
              </w:rPr>
              <w:t>Document Name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2E6730" w:rsidRDefault="00A7773A" w:rsidP="00BE263B">
            <w:pPr>
              <w:pStyle w:val="FootnoteText"/>
              <w:spacing w:before="20" w:after="20"/>
              <w:rPr>
                <w:rFonts w:ascii="Arial" w:hAnsi="Arial" w:cs="Arial"/>
                <w:lang w:val="en-GB"/>
              </w:rPr>
            </w:pPr>
            <w:r w:rsidRPr="002E6730">
              <w:rPr>
                <w:rFonts w:ascii="Arial" w:hAnsi="Arial" w:cs="Arial"/>
                <w:b/>
              </w:rPr>
              <w:t xml:space="preserve">UNDP’s accountability when acting as Administrative Agent in Multi-Donor Trust Funds and/or UN Joint Programmes                                                  </w:t>
            </w:r>
          </w:p>
        </w:tc>
      </w:tr>
      <w:tr w:rsidR="00A7773A" w:rsidRPr="00772234">
        <w:trPr>
          <w:trHeight w:val="222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>Language(s)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22E7">
              <w:rPr>
                <w:rFonts w:ascii="Arial" w:hAnsi="Arial" w:cs="Arial"/>
                <w:sz w:val="20"/>
                <w:szCs w:val="20"/>
              </w:rPr>
              <w:t>English</w:t>
            </w:r>
            <w:r w:rsidR="00284BEE">
              <w:rPr>
                <w:rFonts w:ascii="Arial" w:hAnsi="Arial" w:cs="Arial"/>
                <w:sz w:val="20"/>
                <w:szCs w:val="20"/>
              </w:rPr>
              <w:t>,</w:t>
            </w:r>
            <w:r w:rsidRPr="00CB22E7">
              <w:rPr>
                <w:rFonts w:ascii="Arial" w:hAnsi="Arial" w:cs="Arial"/>
                <w:sz w:val="20"/>
                <w:szCs w:val="20"/>
              </w:rPr>
              <w:t xml:space="preserve"> French and Spanish</w:t>
            </w:r>
          </w:p>
        </w:tc>
      </w:tr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>Responsible Unit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284BEE" w:rsidP="00284BE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Bureau of Management</w:t>
            </w:r>
            <w:r w:rsidR="00A7773A" w:rsidRPr="00CB22E7">
              <w:rPr>
                <w:rFonts w:ascii="Arial" w:hAnsi="Arial" w:cs="Arial"/>
                <w:sz w:val="20"/>
                <w:szCs w:val="20"/>
              </w:rPr>
              <w:t>, UNDP</w:t>
            </w:r>
          </w:p>
        </w:tc>
      </w:tr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>Creator(s) (individuals)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A7773A" w:rsidP="00BE263B">
            <w:pPr>
              <w:pStyle w:val="FootnoteText"/>
              <w:spacing w:before="20" w:after="20"/>
              <w:rPr>
                <w:rFonts w:ascii="Arial" w:hAnsi="Arial" w:cs="Arial"/>
                <w:lang w:val="en-GB"/>
              </w:rPr>
            </w:pPr>
            <w:r w:rsidRPr="00CB22E7">
              <w:rPr>
                <w:rFonts w:ascii="Arial" w:hAnsi="Arial" w:cs="Arial"/>
                <w:lang w:val="en-GB"/>
              </w:rPr>
              <w:t>Bisrat Aklilu</w:t>
            </w:r>
          </w:p>
        </w:tc>
      </w:tr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>Subject (taxonomy)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22E7">
              <w:rPr>
                <w:rFonts w:ascii="Arial" w:hAnsi="Arial" w:cs="Arial"/>
                <w:sz w:val="20"/>
                <w:szCs w:val="20"/>
                <w:lang w:val="en-GB"/>
              </w:rPr>
              <w:t xml:space="preserve">Multi Donor Trust Funds; </w:t>
            </w:r>
            <w:r w:rsidR="00FD155E" w:rsidRPr="00FD155E">
              <w:rPr>
                <w:rFonts w:ascii="Arial" w:hAnsi="Arial" w:cs="Arial"/>
                <w:sz w:val="20"/>
                <w:szCs w:val="20"/>
                <w:lang w:val="en-GB"/>
              </w:rPr>
              <w:t xml:space="preserve"> One UN Funds</w:t>
            </w:r>
            <w:r w:rsidR="00FD155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FD155E" w:rsidRPr="00CB22E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B22E7">
              <w:rPr>
                <w:rFonts w:ascii="Arial" w:hAnsi="Arial" w:cs="Arial"/>
                <w:sz w:val="20"/>
                <w:szCs w:val="20"/>
                <w:lang w:val="en-GB"/>
              </w:rPr>
              <w:t>Joint Programmes; Accountability</w:t>
            </w:r>
          </w:p>
        </w:tc>
      </w:tr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>Date created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7E2354" w:rsidP="007E235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733A5">
              <w:rPr>
                <w:rFonts w:ascii="Arial" w:hAnsi="Arial" w:cs="Arial"/>
                <w:sz w:val="20"/>
                <w:szCs w:val="20"/>
              </w:rPr>
              <w:t xml:space="preserve">evised </w:t>
            </w:r>
            <w:r w:rsidR="008B1D3C">
              <w:rPr>
                <w:rFonts w:ascii="Arial" w:hAnsi="Arial" w:cs="Arial"/>
                <w:sz w:val="20"/>
                <w:szCs w:val="20"/>
              </w:rPr>
              <w:t>13/04/</w:t>
            </w:r>
            <w:r w:rsidR="009733A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284BEE" w:rsidP="0073495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B1D3C">
              <w:rPr>
                <w:rFonts w:ascii="Arial" w:hAnsi="Arial" w:cs="Arial"/>
                <w:sz w:val="20"/>
                <w:szCs w:val="20"/>
              </w:rPr>
              <w:t>/0</w:t>
            </w:r>
            <w:r w:rsidR="0073495F">
              <w:rPr>
                <w:rFonts w:ascii="Arial" w:hAnsi="Arial" w:cs="Arial"/>
                <w:sz w:val="20"/>
                <w:szCs w:val="20"/>
              </w:rPr>
              <w:t>7</w:t>
            </w:r>
            <w:r w:rsidR="008B1D3C">
              <w:rPr>
                <w:rFonts w:ascii="Arial" w:hAnsi="Arial" w:cs="Arial"/>
                <w:sz w:val="20"/>
                <w:szCs w:val="20"/>
              </w:rPr>
              <w:t>/2010</w:t>
            </w:r>
          </w:p>
        </w:tc>
      </w:tr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 xml:space="preserve">Mandatory Review 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22E7">
              <w:rPr>
                <w:rFonts w:ascii="Arial" w:hAnsi="Arial" w:cs="Arial"/>
                <w:sz w:val="20"/>
                <w:szCs w:val="20"/>
              </w:rPr>
              <w:t>(12 months past publish date)</w:t>
            </w:r>
          </w:p>
        </w:tc>
      </w:tr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>Audience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A7745B" w:rsidP="00BE263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 Coordinators/Resident Representatives and their </w:t>
            </w:r>
            <w:r w:rsidR="001A5B00">
              <w:rPr>
                <w:rFonts w:ascii="Arial" w:hAnsi="Arial" w:cs="Arial"/>
                <w:sz w:val="20"/>
                <w:szCs w:val="20"/>
              </w:rPr>
              <w:t>Deputies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all UN staff</w:t>
            </w:r>
            <w:r w:rsidR="001A5B00">
              <w:rPr>
                <w:rFonts w:ascii="Arial" w:hAnsi="Arial" w:cs="Arial"/>
                <w:sz w:val="20"/>
                <w:szCs w:val="20"/>
              </w:rPr>
              <w:t xml:space="preserve"> involved 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UNDP-managed </w:t>
            </w:r>
            <w:r w:rsidR="001A5B00">
              <w:rPr>
                <w:rFonts w:ascii="Arial" w:hAnsi="Arial" w:cs="Arial"/>
                <w:sz w:val="20"/>
                <w:szCs w:val="20"/>
              </w:rPr>
              <w:t>Pass-Through Trust Funds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and/of UN Joint Programmes</w:t>
            </w:r>
          </w:p>
        </w:tc>
      </w:tr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>Applicability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5905B0" w:rsidP="00FD155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of Multi Donor Trust Funds</w:t>
            </w:r>
            <w:r w:rsidR="00FD15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D155E" w:rsidRPr="00FD155E">
              <w:rPr>
                <w:rFonts w:ascii="Arial" w:hAnsi="Arial" w:cs="Arial"/>
                <w:sz w:val="20"/>
                <w:szCs w:val="20"/>
                <w:lang w:val="en-GB"/>
              </w:rPr>
              <w:t>One UN Funds</w:t>
            </w:r>
            <w:r w:rsidR="00FD15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</w:t>
            </w:r>
            <w:r w:rsidR="00FD155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UN Joint Programmes</w:t>
            </w:r>
          </w:p>
        </w:tc>
      </w:tr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>Replaces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6603A6" w:rsidP="00BE263B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6603A6">
              <w:rPr>
                <w:rFonts w:ascii="Arial" w:hAnsi="Arial" w:cs="Arial"/>
                <w:sz w:val="20"/>
                <w:szCs w:val="20"/>
              </w:rPr>
              <w:t xml:space="preserve"> UNDP’s accountability when acting as Administrative Agent in Multi-Donor Trust Funds and/or UN Joint Programmes</w:t>
            </w:r>
            <w:r w:rsidR="005E2CE4">
              <w:rPr>
                <w:rFonts w:ascii="Arial" w:hAnsi="Arial" w:cs="Arial"/>
                <w:bCs/>
                <w:sz w:val="20"/>
                <w:szCs w:val="20"/>
              </w:rPr>
              <w:t xml:space="preserve"> version of 20/6/2007</w:t>
            </w:r>
          </w:p>
        </w:tc>
      </w:tr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FD155E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D155E">
              <w:rPr>
                <w:rFonts w:ascii="Arial" w:hAnsi="Arial" w:cs="Arial"/>
                <w:b/>
                <w:sz w:val="20"/>
                <w:szCs w:val="20"/>
              </w:rPr>
              <w:t>Is part of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46028C" w:rsidP="008B1D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7773A" w:rsidRPr="00FD155E">
                <w:rPr>
                  <w:rFonts w:ascii="Arial" w:hAnsi="Arial" w:cs="Arial"/>
                  <w:sz w:val="20"/>
                  <w:szCs w:val="20"/>
                </w:rPr>
                <w:t>UNDG Joint Programming Guidelines</w:t>
              </w:r>
            </w:hyperlink>
            <w:r w:rsidR="00A7773A" w:rsidRPr="00CB22E7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8" w:history="1">
              <w:r w:rsidR="00A7773A" w:rsidRPr="00FD155E">
                <w:rPr>
                  <w:rFonts w:ascii="Arial" w:hAnsi="Arial" w:cs="Arial"/>
                  <w:sz w:val="20"/>
                  <w:szCs w:val="20"/>
                </w:rPr>
                <w:t>Pass-Through Fund Management, UNDP User Guide</w:t>
              </w:r>
            </w:hyperlink>
            <w:r w:rsidR="00A7773A" w:rsidRPr="00FD155E">
              <w:rPr>
                <w:rFonts w:ascii="Arial" w:hAnsi="Arial" w:cs="Arial"/>
                <w:sz w:val="20"/>
                <w:szCs w:val="20"/>
              </w:rPr>
              <w:t xml:space="preserve">; </w:t>
            </w:r>
            <w:hyperlink r:id="rId9" w:history="1">
              <w:r w:rsidR="00A7773A" w:rsidRPr="00FD155E">
                <w:rPr>
                  <w:rFonts w:ascii="Arial" w:hAnsi="Arial" w:cs="Arial"/>
                  <w:sz w:val="20"/>
                  <w:szCs w:val="20"/>
                </w:rPr>
                <w:t>UNDP's Cost Recovery Policy</w:t>
              </w:r>
            </w:hyperlink>
            <w:r w:rsidR="008B1D3C" w:rsidRPr="00FD155E">
              <w:rPr>
                <w:rFonts w:ascii="Arial" w:hAnsi="Arial" w:cs="Arial"/>
                <w:sz w:val="20"/>
                <w:szCs w:val="20"/>
              </w:rPr>
              <w:t>; Decision of the Operations Group.</w:t>
            </w:r>
          </w:p>
        </w:tc>
      </w:tr>
      <w:tr w:rsidR="00A7773A" w:rsidRPr="00772234">
        <w:trPr>
          <w:trHeight w:val="211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>Related documents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7E1" w:rsidRDefault="005E2CE4" w:rsidP="00FD1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UNDG guidance on joint programming and multi</w:t>
            </w:r>
            <w:r w:rsidR="00FD155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donor trust funds</w:t>
            </w:r>
            <w:r w:rsidR="008B1D3C">
              <w:rPr>
                <w:rFonts w:ascii="Arial" w:hAnsi="Arial" w:cs="Arial"/>
                <w:sz w:val="20"/>
                <w:szCs w:val="20"/>
              </w:rPr>
              <w:t xml:space="preserve">; Protocol on the </w:t>
            </w:r>
            <w:r w:rsidR="001B07E1">
              <w:rPr>
                <w:rFonts w:ascii="Arial" w:hAnsi="Arial" w:cs="Arial"/>
                <w:sz w:val="20"/>
                <w:szCs w:val="20"/>
              </w:rPr>
              <w:t xml:space="preserve">Administrative </w:t>
            </w:r>
            <w:r w:rsidR="008B1D3C">
              <w:rPr>
                <w:rFonts w:ascii="Arial" w:hAnsi="Arial" w:cs="Arial"/>
                <w:sz w:val="20"/>
                <w:szCs w:val="20"/>
              </w:rPr>
              <w:t>Agent for</w:t>
            </w:r>
            <w:r w:rsidR="007E2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7E1" w:rsidRPr="001B07E1">
              <w:rPr>
                <w:rFonts w:ascii="Arial" w:hAnsi="Arial" w:cs="Arial"/>
                <w:sz w:val="20"/>
                <w:szCs w:val="20"/>
              </w:rPr>
              <w:t>Multi</w:t>
            </w:r>
            <w:r w:rsidR="001B07E1">
              <w:rPr>
                <w:rFonts w:ascii="Arial" w:hAnsi="Arial" w:cs="Arial"/>
                <w:sz w:val="20"/>
                <w:szCs w:val="20"/>
              </w:rPr>
              <w:t>-</w:t>
            </w:r>
            <w:r w:rsidR="001B07E1" w:rsidRPr="001B07E1">
              <w:rPr>
                <w:rFonts w:ascii="Arial" w:hAnsi="Arial" w:cs="Arial"/>
                <w:sz w:val="20"/>
                <w:szCs w:val="20"/>
              </w:rPr>
              <w:t xml:space="preserve">Donor Trust Funds and Joint </w:t>
            </w:r>
          </w:p>
          <w:p w:rsidR="00A7773A" w:rsidRPr="00CB22E7" w:rsidRDefault="001B07E1" w:rsidP="00FD155E">
            <w:pPr>
              <w:rPr>
                <w:rFonts w:ascii="Arial" w:hAnsi="Arial" w:cs="Arial"/>
                <w:sz w:val="20"/>
                <w:szCs w:val="20"/>
              </w:rPr>
            </w:pPr>
            <w:r w:rsidRPr="001B07E1">
              <w:rPr>
                <w:rFonts w:ascii="Arial" w:hAnsi="Arial" w:cs="Arial"/>
                <w:sz w:val="20"/>
                <w:szCs w:val="20"/>
              </w:rPr>
              <w:t>Programmes, and One UN Funds</w:t>
            </w:r>
            <w:r w:rsidR="00FD155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D155E" w:rsidRPr="00FD155E">
              <w:rPr>
                <w:rFonts w:ascii="Arial" w:hAnsi="Arial" w:cs="Arial"/>
                <w:sz w:val="20"/>
                <w:szCs w:val="20"/>
              </w:rPr>
              <w:t>The Management and Accountability System of the UN Development and Resident Coordinator System including the “functional firewall” for the RC System</w:t>
            </w:r>
            <w:r w:rsidR="00FD155E">
              <w:rPr>
                <w:rFonts w:ascii="Arial" w:hAnsi="Arial" w:cs="Arial"/>
                <w:sz w:val="20"/>
                <w:szCs w:val="20"/>
              </w:rPr>
              <w:t xml:space="preserve">. (available on mdtf.undp.org and </w:t>
            </w:r>
            <w:r w:rsidR="005E2CE4">
              <w:rPr>
                <w:rFonts w:ascii="Arial" w:hAnsi="Arial" w:cs="Arial"/>
                <w:sz w:val="20"/>
                <w:szCs w:val="20"/>
              </w:rPr>
              <w:t>www.undg.org)</w:t>
            </w:r>
          </w:p>
        </w:tc>
      </w:tr>
      <w:tr w:rsidR="00A7773A" w:rsidRPr="00772234">
        <w:trPr>
          <w:trHeight w:val="222"/>
        </w:trPr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22E7">
              <w:rPr>
                <w:rFonts w:ascii="Arial" w:hAnsi="Arial" w:cs="Arial"/>
                <w:b/>
                <w:sz w:val="20"/>
                <w:szCs w:val="20"/>
              </w:rPr>
              <w:t>UN Record Ref.</w:t>
            </w:r>
          </w:p>
        </w:tc>
        <w:tc>
          <w:tcPr>
            <w:tcW w:w="3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3A" w:rsidRPr="00CB22E7" w:rsidRDefault="00A7773A" w:rsidP="00BE263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22E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A7773A" w:rsidRPr="008B119B" w:rsidRDefault="00A7773A" w:rsidP="00776D3B">
      <w:pPr>
        <w:pStyle w:val="NormalWeb"/>
        <w:jc w:val="center"/>
        <w:rPr>
          <w:b/>
        </w:rPr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A7773A" w:rsidRDefault="00A7773A" w:rsidP="003712C7">
      <w:pPr>
        <w:jc w:val="both"/>
      </w:pPr>
    </w:p>
    <w:p w:rsidR="005905B0" w:rsidRDefault="005905B0" w:rsidP="003712C7">
      <w:pPr>
        <w:jc w:val="both"/>
      </w:pPr>
    </w:p>
    <w:p w:rsidR="005905B0" w:rsidRDefault="005905B0" w:rsidP="003712C7">
      <w:pPr>
        <w:jc w:val="both"/>
      </w:pPr>
    </w:p>
    <w:p w:rsidR="000A5C81" w:rsidRDefault="000A5C81" w:rsidP="003712C7">
      <w:pPr>
        <w:jc w:val="both"/>
      </w:pPr>
    </w:p>
    <w:p w:rsidR="000A5C81" w:rsidRDefault="000A5C81" w:rsidP="003712C7">
      <w:pPr>
        <w:jc w:val="both"/>
      </w:pPr>
    </w:p>
    <w:p w:rsidR="005E2CE4" w:rsidRDefault="005E2CE4" w:rsidP="003712C7">
      <w:pPr>
        <w:jc w:val="both"/>
      </w:pPr>
    </w:p>
    <w:p w:rsidR="005E2CE4" w:rsidRDefault="005E2CE4" w:rsidP="003712C7">
      <w:pPr>
        <w:jc w:val="both"/>
      </w:pPr>
    </w:p>
    <w:p w:rsidR="005E2CE4" w:rsidRDefault="005E2CE4" w:rsidP="003712C7">
      <w:pPr>
        <w:jc w:val="both"/>
      </w:pPr>
    </w:p>
    <w:p w:rsidR="008B1D3C" w:rsidRDefault="008B1D3C" w:rsidP="003712C7">
      <w:pPr>
        <w:jc w:val="both"/>
      </w:pPr>
    </w:p>
    <w:p w:rsidR="00B07C92" w:rsidRDefault="00B07C92" w:rsidP="00B07C92">
      <w:pPr>
        <w:jc w:val="center"/>
      </w:pPr>
    </w:p>
    <w:p w:rsidR="00B07C92" w:rsidRPr="00130923" w:rsidRDefault="00B07C92" w:rsidP="00B07C92">
      <w:pPr>
        <w:jc w:val="center"/>
      </w:pPr>
    </w:p>
    <w:p w:rsidR="0071388D" w:rsidRDefault="0071388D" w:rsidP="00F91AEE"/>
    <w:p w:rsidR="00843FBB" w:rsidRDefault="00843FBB" w:rsidP="00F91AEE"/>
    <w:p w:rsidR="0071388D" w:rsidRDefault="003712C7" w:rsidP="00F91AEE">
      <w:r w:rsidRPr="00130923">
        <w:t>In the context of growing efforts of the UN system towards enhanced coherence and efficiency at</w:t>
      </w:r>
      <w:r w:rsidR="00F91AEE" w:rsidRPr="00130923">
        <w:t xml:space="preserve"> </w:t>
      </w:r>
      <w:r w:rsidRPr="00130923">
        <w:t>the country level and increasing joint UN activities, UNDP is often called upon to play the role</w:t>
      </w:r>
      <w:r w:rsidR="00F91AEE" w:rsidRPr="00130923">
        <w:t xml:space="preserve"> </w:t>
      </w:r>
      <w:r w:rsidRPr="00130923">
        <w:t xml:space="preserve">of Administrative Agent </w:t>
      </w:r>
      <w:r w:rsidR="001B07E1" w:rsidRPr="00130923">
        <w:t xml:space="preserve">(AA) </w:t>
      </w:r>
      <w:r w:rsidRPr="00130923">
        <w:t>for Multi-Donor Trust Funds (MDTFs)</w:t>
      </w:r>
      <w:r w:rsidR="00CC5273">
        <w:t>,</w:t>
      </w:r>
      <w:r w:rsidRPr="00130923">
        <w:t xml:space="preserve"> </w:t>
      </w:r>
      <w:r w:rsidR="00CC5273">
        <w:t>One UN Funds</w:t>
      </w:r>
      <w:r w:rsidR="00CC5273" w:rsidRPr="00130923">
        <w:t xml:space="preserve"> </w:t>
      </w:r>
      <w:r w:rsidR="00F91AEE" w:rsidRPr="00130923">
        <w:t>and Joint Programmes</w:t>
      </w:r>
      <w:r w:rsidR="0071388D" w:rsidRPr="00130923">
        <w:rPr>
          <w:rStyle w:val="FootnoteReference"/>
        </w:rPr>
        <w:footnoteReference w:id="2"/>
      </w:r>
      <w:r w:rsidR="00F91AEE" w:rsidRPr="00130923">
        <w:t xml:space="preserve"> (JPs) using the </w:t>
      </w:r>
      <w:r w:rsidRPr="00130923">
        <w:t xml:space="preserve">pass-through </w:t>
      </w:r>
      <w:r w:rsidR="00F91AEE" w:rsidRPr="00130923">
        <w:t xml:space="preserve">fund management </w:t>
      </w:r>
      <w:r w:rsidR="009F5CFE">
        <w:t xml:space="preserve">arrangements </w:t>
      </w:r>
      <w:r w:rsidRPr="00130923">
        <w:t>established by the UN system</w:t>
      </w:r>
      <w:r w:rsidR="00F91AEE" w:rsidRPr="00130923">
        <w:t>.</w:t>
      </w:r>
      <w:r w:rsidRPr="00130923">
        <w:t xml:space="preserve"> These </w:t>
      </w:r>
      <w:r w:rsidR="0071388D">
        <w:t xml:space="preserve">funds </w:t>
      </w:r>
      <w:r w:rsidRPr="00130923">
        <w:t xml:space="preserve">exist in humanitarian, transition as well as reconstruction and </w:t>
      </w:r>
      <w:r w:rsidRPr="00130923">
        <w:lastRenderedPageBreak/>
        <w:t xml:space="preserve">development contexts. It is in this connection that UNDP established the Multi-Donor Trust Fund Office </w:t>
      </w:r>
      <w:r w:rsidR="008B1D3C" w:rsidRPr="00130923">
        <w:t xml:space="preserve">(MDTF Office) </w:t>
      </w:r>
      <w:r w:rsidRPr="00130923">
        <w:t xml:space="preserve">within </w:t>
      </w:r>
      <w:r w:rsidR="00B07C92" w:rsidRPr="00130923">
        <w:t>the</w:t>
      </w:r>
      <w:r w:rsidR="00F91AEE" w:rsidRPr="00130923">
        <w:t xml:space="preserve"> </w:t>
      </w:r>
      <w:r w:rsidR="00B07C92" w:rsidRPr="00130923">
        <w:t>Partnership</w:t>
      </w:r>
      <w:r w:rsidR="00EA2970" w:rsidRPr="00130923">
        <w:t xml:space="preserve"> Bureau</w:t>
      </w:r>
      <w:r w:rsidR="0074137D" w:rsidRPr="00130923">
        <w:t xml:space="preserve"> </w:t>
      </w:r>
      <w:r w:rsidR="00F91AEE" w:rsidRPr="00130923">
        <w:t xml:space="preserve">(PB) </w:t>
      </w:r>
      <w:r w:rsidRPr="00130923">
        <w:t>in May 2006</w:t>
      </w:r>
      <w:r w:rsidRPr="00130923">
        <w:rPr>
          <w:rStyle w:val="FootnoteReference"/>
        </w:rPr>
        <w:footnoteReference w:id="3"/>
      </w:r>
      <w:r w:rsidRPr="00130923">
        <w:t>.  </w:t>
      </w:r>
    </w:p>
    <w:p w:rsidR="009F5CFE" w:rsidRDefault="009F5CFE" w:rsidP="00F91AEE"/>
    <w:p w:rsidR="003712C7" w:rsidRPr="00130923" w:rsidRDefault="009F5CFE" w:rsidP="00F91AEE">
      <w:r>
        <w:t>As part of UNDP’s measures to delineate the responsibilities of UNDP in its dual role as AA and Participating UN Organization of MDTFs/JPs</w:t>
      </w:r>
      <w:r w:rsidR="006C4CDC">
        <w:t xml:space="preserve">/One UN Funds </w:t>
      </w:r>
      <w:r>
        <w:t xml:space="preserve">and to </w:t>
      </w:r>
      <w:r w:rsidR="006C4CDC">
        <w:t>avoid real</w:t>
      </w:r>
      <w:r>
        <w:t xml:space="preserve"> or perceived conflicts of interest, t</w:t>
      </w:r>
      <w:r w:rsidR="009733A5" w:rsidRPr="00130923">
        <w:t>he M</w:t>
      </w:r>
      <w:r w:rsidR="008B1D3C" w:rsidRPr="00130923">
        <w:t xml:space="preserve">DTF Office </w:t>
      </w:r>
      <w:r w:rsidR="009733A5" w:rsidRPr="00130923">
        <w:t xml:space="preserve">was re-located to the Bureau of Management </w:t>
      </w:r>
      <w:r w:rsidR="00B07C92" w:rsidRPr="00130923">
        <w:t xml:space="preserve">(BOM) </w:t>
      </w:r>
      <w:r w:rsidR="001B07E1" w:rsidRPr="00130923">
        <w:t>o</w:t>
      </w:r>
      <w:r w:rsidR="009733A5" w:rsidRPr="00130923">
        <w:t xml:space="preserve">n </w:t>
      </w:r>
      <w:r w:rsidR="001B07E1" w:rsidRPr="00130923">
        <w:t xml:space="preserve">1 </w:t>
      </w:r>
      <w:r w:rsidR="009733A5" w:rsidRPr="00130923">
        <w:t>February 2009</w:t>
      </w:r>
      <w:r w:rsidR="008B1D3C" w:rsidRPr="00130923">
        <w:t xml:space="preserve">.  </w:t>
      </w:r>
      <w:r w:rsidR="001B07E1" w:rsidRPr="00130923">
        <w:t>Th</w:t>
      </w:r>
      <w:r w:rsidR="00B07C92" w:rsidRPr="00130923">
        <w:t xml:space="preserve">is decision </w:t>
      </w:r>
      <w:r w:rsidR="001B07E1" w:rsidRPr="00130923">
        <w:t xml:space="preserve">also responds to the UNDG recommendation on the location of an AA </w:t>
      </w:r>
      <w:r w:rsidR="00B07C92" w:rsidRPr="00130923">
        <w:t xml:space="preserve">within </w:t>
      </w:r>
      <w:r w:rsidR="001B07E1" w:rsidRPr="00130923">
        <w:t xml:space="preserve">a UN Organization </w:t>
      </w:r>
      <w:r w:rsidR="00B07C92" w:rsidRPr="00130923">
        <w:t xml:space="preserve">which is </w:t>
      </w:r>
      <w:r w:rsidR="001B07E1" w:rsidRPr="00130923">
        <w:t>articulated i</w:t>
      </w:r>
      <w:r w:rsidR="00B07C92" w:rsidRPr="00130923">
        <w:t xml:space="preserve">n the </w:t>
      </w:r>
      <w:r w:rsidR="009733A5" w:rsidRPr="00130923">
        <w:t xml:space="preserve">UNDG </w:t>
      </w:r>
      <w:r w:rsidR="00B07C92" w:rsidRPr="00130923">
        <w:t xml:space="preserve">“Protocol on </w:t>
      </w:r>
      <w:r w:rsidR="004B35EF" w:rsidRPr="00130923">
        <w:t xml:space="preserve">the </w:t>
      </w:r>
      <w:r w:rsidR="004B35EF">
        <w:t xml:space="preserve">AA for MDTFs, JPs and </w:t>
      </w:r>
      <w:r w:rsidR="00B07C92" w:rsidRPr="00130923">
        <w:t>One UN Funds</w:t>
      </w:r>
      <w:r w:rsidR="00EE7AFC" w:rsidRPr="00130923">
        <w:t>”.</w:t>
      </w:r>
    </w:p>
    <w:p w:rsidR="003712C7" w:rsidRPr="00130923" w:rsidRDefault="003712C7" w:rsidP="003712C7">
      <w:pPr>
        <w:jc w:val="both"/>
      </w:pPr>
    </w:p>
    <w:p w:rsidR="003712C7" w:rsidRPr="00130923" w:rsidRDefault="001B07E1" w:rsidP="003712C7">
      <w:pPr>
        <w:jc w:val="both"/>
        <w:rPr>
          <w:lang w:eastAsia="ja-JP"/>
        </w:rPr>
      </w:pPr>
      <w:r w:rsidRPr="00130923">
        <w:t>T</w:t>
      </w:r>
      <w:r w:rsidR="003712C7" w:rsidRPr="00130923">
        <w:t xml:space="preserve">he pass-through modality is one of three possible fund management options for funding received in support of UN joint programmes. In a pass-through arrangement, donors and Participating UN Organizations agree to channel funding through one Participating UN Organization, referred to as the </w:t>
      </w:r>
      <w:r w:rsidR="00EE7AFC" w:rsidRPr="00130923">
        <w:t>AA</w:t>
      </w:r>
      <w:r w:rsidR="003712C7" w:rsidRPr="00130923">
        <w:t xml:space="preserve">, who is jointly selected by all Participating UN Organizations. As such, the </w:t>
      </w:r>
      <w:r w:rsidRPr="00130923">
        <w:t>AA</w:t>
      </w:r>
      <w:r w:rsidR="003712C7" w:rsidRPr="00130923">
        <w:t xml:space="preserve"> is the appointed interface between the Participating UN </w:t>
      </w:r>
      <w:r w:rsidR="003712C7" w:rsidRPr="00130923">
        <w:rPr>
          <w:lang w:eastAsia="ja-JP"/>
        </w:rPr>
        <w:t>Organizations and the donors.</w:t>
      </w:r>
    </w:p>
    <w:p w:rsidR="00C37A0A" w:rsidRPr="00130923" w:rsidRDefault="00C37A0A" w:rsidP="00B07C92">
      <w:pPr>
        <w:jc w:val="both"/>
        <w:rPr>
          <w:lang w:eastAsia="ja-JP"/>
        </w:rPr>
      </w:pPr>
    </w:p>
    <w:p w:rsidR="00212FFF" w:rsidRPr="00130923" w:rsidRDefault="00212FFF" w:rsidP="00B07C92">
      <w:pPr>
        <w:jc w:val="both"/>
        <w:rPr>
          <w:lang w:eastAsia="ja-JP"/>
        </w:rPr>
      </w:pPr>
      <w:r w:rsidRPr="00130923">
        <w:rPr>
          <w:lang w:eastAsia="ja-JP"/>
        </w:rPr>
        <w:t xml:space="preserve">On behalf of the Participating UN Organizations, the AA will: </w:t>
      </w:r>
    </w:p>
    <w:p w:rsidR="00212FFF" w:rsidRPr="00130923" w:rsidRDefault="00212FFF" w:rsidP="00212FFF">
      <w:pPr>
        <w:jc w:val="both"/>
        <w:rPr>
          <w:lang w:eastAsia="ja-JP"/>
        </w:rPr>
      </w:pPr>
    </w:p>
    <w:p w:rsidR="00212FFF" w:rsidRPr="00130923" w:rsidRDefault="00212FFF" w:rsidP="00212FFF">
      <w:pPr>
        <w:numPr>
          <w:ilvl w:val="0"/>
          <w:numId w:val="4"/>
        </w:numPr>
        <w:jc w:val="both"/>
        <w:rPr>
          <w:lang w:eastAsia="ja-JP"/>
        </w:rPr>
      </w:pPr>
      <w:r w:rsidRPr="00130923">
        <w:rPr>
          <w:lang w:eastAsia="ja-JP"/>
        </w:rPr>
        <w:t>Receive contributions from donors that wish to provide financial support to the MDTF/JP/</w:t>
      </w:r>
      <w:r w:rsidR="00FD155E" w:rsidRPr="00FD155E">
        <w:rPr>
          <w:lang w:eastAsia="ja-JP"/>
        </w:rPr>
        <w:t>One UN Fund</w:t>
      </w:r>
      <w:r w:rsidR="00FD155E" w:rsidRPr="00130923">
        <w:rPr>
          <w:lang w:eastAsia="ja-JP"/>
        </w:rPr>
        <w:t xml:space="preserve"> </w:t>
      </w:r>
      <w:r w:rsidRPr="00130923">
        <w:rPr>
          <w:lang w:eastAsia="ja-JP"/>
        </w:rPr>
        <w:t xml:space="preserve">through the AA; </w:t>
      </w:r>
    </w:p>
    <w:p w:rsidR="00212FFF" w:rsidRPr="00130923" w:rsidRDefault="00212FFF" w:rsidP="00212FFF">
      <w:pPr>
        <w:tabs>
          <w:tab w:val="num" w:pos="1440"/>
        </w:tabs>
        <w:ind w:hanging="720"/>
        <w:jc w:val="both"/>
        <w:rPr>
          <w:lang w:eastAsia="ja-JP"/>
        </w:rPr>
      </w:pPr>
    </w:p>
    <w:p w:rsidR="00212FFF" w:rsidRPr="00130923" w:rsidRDefault="00212FFF" w:rsidP="00212FFF">
      <w:pPr>
        <w:numPr>
          <w:ilvl w:val="0"/>
          <w:numId w:val="4"/>
        </w:numPr>
        <w:jc w:val="both"/>
        <w:rPr>
          <w:lang w:eastAsia="ja-JP"/>
        </w:rPr>
      </w:pPr>
      <w:r w:rsidRPr="00130923">
        <w:rPr>
          <w:lang w:eastAsia="ja-JP"/>
        </w:rPr>
        <w:t xml:space="preserve">Administer such funds received, in accordance with the relevant </w:t>
      </w:r>
      <w:r w:rsidR="00CC5273">
        <w:rPr>
          <w:lang w:eastAsia="ja-JP"/>
        </w:rPr>
        <w:t>M</w:t>
      </w:r>
      <w:r w:rsidR="00690C83">
        <w:rPr>
          <w:lang w:eastAsia="ja-JP"/>
        </w:rPr>
        <w:t xml:space="preserve">emorandum of </w:t>
      </w:r>
      <w:r w:rsidR="00CC5273">
        <w:rPr>
          <w:lang w:eastAsia="ja-JP"/>
        </w:rPr>
        <w:t>U</w:t>
      </w:r>
      <w:r w:rsidR="00690C83">
        <w:rPr>
          <w:lang w:eastAsia="ja-JP"/>
        </w:rPr>
        <w:t>nderstanding (</w:t>
      </w:r>
      <w:r w:rsidRPr="00130923">
        <w:rPr>
          <w:lang w:eastAsia="ja-JP"/>
        </w:rPr>
        <w:t>MOU</w:t>
      </w:r>
      <w:r w:rsidR="00690C83">
        <w:rPr>
          <w:lang w:eastAsia="ja-JP"/>
        </w:rPr>
        <w:t>) between the AA and Participating UN Organizations,</w:t>
      </w:r>
      <w:r w:rsidRPr="00130923">
        <w:rPr>
          <w:lang w:eastAsia="ja-JP"/>
        </w:rPr>
        <w:t xml:space="preserve"> including the provisions relating to winding up the MDTF/JP/</w:t>
      </w:r>
      <w:r w:rsidR="00FD155E" w:rsidRPr="00FD155E">
        <w:rPr>
          <w:lang w:eastAsia="ja-JP"/>
        </w:rPr>
        <w:t>One UN Fund</w:t>
      </w:r>
      <w:r w:rsidRPr="00130923">
        <w:rPr>
          <w:lang w:eastAsia="ja-JP"/>
        </w:rPr>
        <w:t xml:space="preserve"> Account and related matters; </w:t>
      </w:r>
    </w:p>
    <w:p w:rsidR="00212FFF" w:rsidRPr="00130923" w:rsidRDefault="00212FFF" w:rsidP="00212FFF">
      <w:pPr>
        <w:tabs>
          <w:tab w:val="num" w:pos="1440"/>
        </w:tabs>
        <w:ind w:hanging="720"/>
        <w:jc w:val="both"/>
        <w:rPr>
          <w:lang w:eastAsia="ja-JP"/>
        </w:rPr>
      </w:pPr>
    </w:p>
    <w:p w:rsidR="00212FFF" w:rsidRPr="00130923" w:rsidRDefault="00212FFF" w:rsidP="00212FFF">
      <w:pPr>
        <w:numPr>
          <w:ilvl w:val="0"/>
          <w:numId w:val="4"/>
        </w:numPr>
        <w:jc w:val="both"/>
        <w:rPr>
          <w:lang w:eastAsia="ja-JP"/>
        </w:rPr>
      </w:pPr>
      <w:r w:rsidRPr="00130923">
        <w:rPr>
          <w:lang w:eastAsia="ja-JP"/>
        </w:rPr>
        <w:t xml:space="preserve">Subject to availability of funds, disburse such funds to each of the Participating UN Organizations in accordance with instructions from the Steering Committee/ Resident Coordinator (on behalf of the Steering Committee), taking into account the budget set out in the approved programmatic document/Joint Programme Document, as </w:t>
      </w:r>
      <w:r w:rsidR="00690C83">
        <w:rPr>
          <w:lang w:eastAsia="ja-JP"/>
        </w:rPr>
        <w:t xml:space="preserve">may be </w:t>
      </w:r>
      <w:r w:rsidRPr="00130923">
        <w:rPr>
          <w:lang w:eastAsia="ja-JP"/>
        </w:rPr>
        <w:t>amended in writing from time to time by the Steering Committee;</w:t>
      </w:r>
    </w:p>
    <w:p w:rsidR="00212FFF" w:rsidRPr="00130923" w:rsidRDefault="00212FFF" w:rsidP="00212FFF">
      <w:pPr>
        <w:tabs>
          <w:tab w:val="num" w:pos="1440"/>
        </w:tabs>
        <w:ind w:hanging="720"/>
        <w:jc w:val="both"/>
        <w:rPr>
          <w:lang w:eastAsia="ja-JP"/>
        </w:rPr>
      </w:pPr>
    </w:p>
    <w:p w:rsidR="00212FFF" w:rsidRPr="00130923" w:rsidRDefault="00212FFF" w:rsidP="00212FFF">
      <w:pPr>
        <w:numPr>
          <w:ilvl w:val="0"/>
          <w:numId w:val="4"/>
        </w:numPr>
        <w:jc w:val="both"/>
        <w:rPr>
          <w:lang w:eastAsia="ja-JP"/>
        </w:rPr>
      </w:pPr>
      <w:r w:rsidRPr="00130923">
        <w:rPr>
          <w:lang w:eastAsia="ja-JP"/>
        </w:rPr>
        <w:t>Consolidate statements and reports, based on submissions provided to the AA by each Participating UN Organization, as set forth in the Terms of Reference (TOR)/Joint Programme Document/One UN Programme, and provide these to each donor that has contributed to the MDTF/JP/</w:t>
      </w:r>
      <w:r w:rsidR="00FD155E" w:rsidRPr="00FD155E">
        <w:rPr>
          <w:lang w:eastAsia="ja-JP"/>
        </w:rPr>
        <w:t>One UN Fund</w:t>
      </w:r>
      <w:r w:rsidRPr="00130923">
        <w:rPr>
          <w:lang w:eastAsia="ja-JP"/>
        </w:rPr>
        <w:t xml:space="preserve"> Account and to the Steering Committee/Resident Coordinator for One UN Funds; </w:t>
      </w:r>
    </w:p>
    <w:p w:rsidR="00212FFF" w:rsidRPr="00130923" w:rsidRDefault="00212FFF" w:rsidP="00212FFF">
      <w:pPr>
        <w:jc w:val="both"/>
        <w:rPr>
          <w:lang w:eastAsia="ja-JP"/>
        </w:rPr>
      </w:pPr>
    </w:p>
    <w:p w:rsidR="00212FFF" w:rsidRPr="00130923" w:rsidRDefault="00212FFF" w:rsidP="00212FFF">
      <w:pPr>
        <w:numPr>
          <w:ilvl w:val="0"/>
          <w:numId w:val="4"/>
        </w:numPr>
        <w:jc w:val="both"/>
        <w:rPr>
          <w:lang w:eastAsia="ja-JP"/>
        </w:rPr>
      </w:pPr>
      <w:r w:rsidRPr="00130923">
        <w:rPr>
          <w:lang w:eastAsia="ja-JP"/>
        </w:rPr>
        <w:t>Provide final reporting, including notification that the MDTF/JP/</w:t>
      </w:r>
      <w:r w:rsidR="00FD155E" w:rsidRPr="00FD155E">
        <w:rPr>
          <w:lang w:eastAsia="ja-JP"/>
        </w:rPr>
        <w:t>One UN Fund</w:t>
      </w:r>
      <w:r w:rsidR="00FD155E" w:rsidRPr="00130923">
        <w:rPr>
          <w:lang w:eastAsia="ja-JP"/>
        </w:rPr>
        <w:t xml:space="preserve"> </w:t>
      </w:r>
      <w:r w:rsidRPr="00130923">
        <w:rPr>
          <w:lang w:eastAsia="ja-JP"/>
        </w:rPr>
        <w:t>has been operationally completed;</w:t>
      </w:r>
    </w:p>
    <w:p w:rsidR="00212FFF" w:rsidRPr="00130923" w:rsidRDefault="00212FFF" w:rsidP="00212FFF">
      <w:pPr>
        <w:ind w:left="1440"/>
        <w:jc w:val="both"/>
        <w:rPr>
          <w:lang w:eastAsia="ja-JP"/>
        </w:rPr>
      </w:pPr>
    </w:p>
    <w:p w:rsidR="00C739C7" w:rsidRDefault="00212FFF" w:rsidP="00C739C7">
      <w:pPr>
        <w:numPr>
          <w:ilvl w:val="0"/>
          <w:numId w:val="4"/>
        </w:numPr>
        <w:jc w:val="both"/>
        <w:rPr>
          <w:lang w:eastAsia="ja-JP"/>
        </w:rPr>
      </w:pPr>
      <w:r w:rsidRPr="00FD155E">
        <w:rPr>
          <w:lang w:eastAsia="ja-JP"/>
        </w:rPr>
        <w:lastRenderedPageBreak/>
        <w:t>Disburse funds to any Participating UN Organization for any additional costs of the task that the Steering Committee may decide in accordance with TOR/Joint Programme Document/ One UN Programme</w:t>
      </w:r>
      <w:r w:rsidR="00C739C7">
        <w:rPr>
          <w:lang w:eastAsia="ja-JP"/>
        </w:rPr>
        <w:t xml:space="preserve">; and </w:t>
      </w:r>
    </w:p>
    <w:p w:rsidR="00C739C7" w:rsidRDefault="00C739C7" w:rsidP="00C739C7">
      <w:pPr>
        <w:pStyle w:val="ListParagraph"/>
        <w:rPr>
          <w:lang w:eastAsia="ja-JP"/>
        </w:rPr>
      </w:pPr>
    </w:p>
    <w:p w:rsidR="00212FFF" w:rsidRPr="00130923" w:rsidRDefault="00C739C7" w:rsidP="00C739C7">
      <w:pPr>
        <w:numPr>
          <w:ilvl w:val="0"/>
          <w:numId w:val="4"/>
        </w:numPr>
        <w:jc w:val="both"/>
        <w:rPr>
          <w:lang w:eastAsia="ja-JP"/>
        </w:rPr>
      </w:pPr>
      <w:r>
        <w:rPr>
          <w:lang w:eastAsia="ja-JP"/>
        </w:rPr>
        <w:t>Provide c</w:t>
      </w:r>
      <w:r w:rsidRPr="0089454A">
        <w:rPr>
          <w:lang w:eastAsia="ja-JP"/>
        </w:rPr>
        <w:t xml:space="preserve">ertified annual </w:t>
      </w:r>
      <w:r>
        <w:rPr>
          <w:lang w:eastAsia="ja-JP"/>
        </w:rPr>
        <w:t xml:space="preserve">and final </w:t>
      </w:r>
      <w:r w:rsidRPr="0089454A">
        <w:rPr>
          <w:lang w:eastAsia="ja-JP"/>
        </w:rPr>
        <w:t>financial statement (“Source and Use of Funds</w:t>
      </w:r>
      <w:r>
        <w:rPr>
          <w:lang w:eastAsia="ja-JP"/>
        </w:rPr>
        <w:t xml:space="preserve">”) </w:t>
      </w:r>
      <w:r w:rsidRPr="0089454A">
        <w:rPr>
          <w:lang w:eastAsia="ja-JP"/>
        </w:rPr>
        <w:t xml:space="preserve">no later than five months (31 May) </w:t>
      </w:r>
      <w:r>
        <w:rPr>
          <w:lang w:eastAsia="ja-JP"/>
        </w:rPr>
        <w:t xml:space="preserve">and seven months (31 July) </w:t>
      </w:r>
      <w:r w:rsidRPr="0089454A">
        <w:rPr>
          <w:lang w:eastAsia="ja-JP"/>
        </w:rPr>
        <w:t xml:space="preserve">after the end of the calendar year and of the year following the financial closing of the </w:t>
      </w:r>
      <w:r>
        <w:t xml:space="preserve">Fund, respectively. </w:t>
      </w:r>
    </w:p>
    <w:p w:rsidR="00212FFF" w:rsidRPr="00130923" w:rsidRDefault="00212FFF" w:rsidP="00212FFF">
      <w:pPr>
        <w:ind w:left="1440"/>
        <w:jc w:val="both"/>
        <w:rPr>
          <w:strike/>
          <w:lang w:eastAsia="ja-JP"/>
        </w:rPr>
      </w:pPr>
    </w:p>
    <w:p w:rsidR="003712C7" w:rsidRPr="00130923" w:rsidRDefault="003712C7" w:rsidP="003712C7">
      <w:pPr>
        <w:jc w:val="both"/>
        <w:rPr>
          <w:b/>
        </w:rPr>
      </w:pPr>
      <w:r w:rsidRPr="00130923">
        <w:rPr>
          <w:b/>
        </w:rPr>
        <w:t xml:space="preserve">This </w:t>
      </w:r>
      <w:r w:rsidR="007A2ED3" w:rsidRPr="00130923">
        <w:rPr>
          <w:b/>
        </w:rPr>
        <w:t xml:space="preserve">document </w:t>
      </w:r>
      <w:r w:rsidRPr="00130923">
        <w:rPr>
          <w:b/>
        </w:rPr>
        <w:t xml:space="preserve">is aimed at ensuring that UNDP’s accountability as </w:t>
      </w:r>
      <w:r w:rsidR="00723840">
        <w:rPr>
          <w:b/>
        </w:rPr>
        <w:t>AA</w:t>
      </w:r>
      <w:r w:rsidRPr="00130923">
        <w:rPr>
          <w:b/>
        </w:rPr>
        <w:t xml:space="preserve"> is properly safeguarded and </w:t>
      </w:r>
      <w:r w:rsidR="00EE7AFC" w:rsidRPr="00130923">
        <w:rPr>
          <w:b/>
        </w:rPr>
        <w:t>exercised</w:t>
      </w:r>
      <w:r w:rsidRPr="00130923">
        <w:rPr>
          <w:b/>
        </w:rPr>
        <w:t xml:space="preserve"> and UNDP’s role as </w:t>
      </w:r>
      <w:r w:rsidR="00723840">
        <w:rPr>
          <w:b/>
        </w:rPr>
        <w:t>AA</w:t>
      </w:r>
      <w:r w:rsidRPr="00130923">
        <w:rPr>
          <w:b/>
        </w:rPr>
        <w:t xml:space="preserve"> on behalf of UN agencies is clearly recognized and differentiated from its role as Participating UN Organization by our UN partners and donors. </w:t>
      </w:r>
    </w:p>
    <w:p w:rsidR="003712C7" w:rsidRPr="00130923" w:rsidRDefault="003712C7" w:rsidP="003712C7">
      <w:pPr>
        <w:jc w:val="both"/>
      </w:pPr>
    </w:p>
    <w:p w:rsidR="003712C7" w:rsidRPr="00130923" w:rsidRDefault="003712C7" w:rsidP="003712C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130923">
        <w:t xml:space="preserve">There will be </w:t>
      </w:r>
      <w:r w:rsidRPr="00914C32">
        <w:t xml:space="preserve">a </w:t>
      </w:r>
      <w:r w:rsidR="000750E9" w:rsidRPr="00914C32">
        <w:t>clear delineation</w:t>
      </w:r>
      <w:r w:rsidR="000750E9">
        <w:t xml:space="preserve"> </w:t>
      </w:r>
      <w:r w:rsidRPr="00130923">
        <w:t xml:space="preserve">between UNDP’s role as </w:t>
      </w:r>
      <w:r w:rsidR="00CC5273">
        <w:t xml:space="preserve">a </w:t>
      </w:r>
      <w:r w:rsidRPr="00130923">
        <w:t xml:space="preserve">Participating UN Organization implementing </w:t>
      </w:r>
      <w:r w:rsidR="00EE7AFC" w:rsidRPr="00130923">
        <w:t>MDTF</w:t>
      </w:r>
      <w:r w:rsidRPr="00130923">
        <w:t>/J</w:t>
      </w:r>
      <w:r w:rsidR="00EE7AFC" w:rsidRPr="00130923">
        <w:t>P</w:t>
      </w:r>
      <w:r w:rsidR="00CC5273">
        <w:t>/</w:t>
      </w:r>
      <w:r w:rsidR="00CC5273" w:rsidRPr="00CC5273">
        <w:t xml:space="preserve"> </w:t>
      </w:r>
      <w:r w:rsidR="00CC5273">
        <w:t>One UN Fund</w:t>
      </w:r>
      <w:r w:rsidRPr="00130923">
        <w:t xml:space="preserve"> activities in line with its operational mandate on one hand and as A</w:t>
      </w:r>
      <w:r w:rsidR="00EE7AFC" w:rsidRPr="00130923">
        <w:t>A</w:t>
      </w:r>
      <w:r w:rsidRPr="00130923">
        <w:t xml:space="preserve"> on behalf of Participating UN Organizations on the other. To establish an effective </w:t>
      </w:r>
      <w:r w:rsidR="004E0743" w:rsidRPr="00130923">
        <w:t xml:space="preserve">delineation </w:t>
      </w:r>
      <w:r w:rsidRPr="00130923">
        <w:t xml:space="preserve">between these two functions, accountability for UNDP’s function as Participating Organization will be exercised by the concerned Regional </w:t>
      </w:r>
      <w:proofErr w:type="spellStart"/>
      <w:r w:rsidRPr="00130923">
        <w:t>Bureaux</w:t>
      </w:r>
      <w:proofErr w:type="spellEnd"/>
      <w:r w:rsidRPr="00130923">
        <w:t>, the Bureau of Development Policy</w:t>
      </w:r>
      <w:r w:rsidR="0071388D">
        <w:t xml:space="preserve"> (</w:t>
      </w:r>
      <w:r w:rsidRPr="00130923">
        <w:t>BDP</w:t>
      </w:r>
      <w:r w:rsidR="0071388D">
        <w:t>)</w:t>
      </w:r>
      <w:r w:rsidRPr="00130923">
        <w:t xml:space="preserve"> and/or </w:t>
      </w:r>
      <w:r w:rsidR="0071388D">
        <w:t xml:space="preserve">the </w:t>
      </w:r>
      <w:r w:rsidRPr="00130923">
        <w:t>Bureau for Crisis Prevention and Recovery</w:t>
      </w:r>
      <w:r w:rsidR="0071388D">
        <w:t xml:space="preserve"> (</w:t>
      </w:r>
      <w:r w:rsidRPr="00130923">
        <w:t>BCPR</w:t>
      </w:r>
      <w:r w:rsidR="0071388D">
        <w:t>)</w:t>
      </w:r>
      <w:r w:rsidRPr="00130923">
        <w:t>. The accountability for UNDP’s function as A</w:t>
      </w:r>
      <w:r w:rsidR="00EE7AFC" w:rsidRPr="00130923">
        <w:t>A</w:t>
      </w:r>
      <w:r w:rsidR="00F91AEE" w:rsidRPr="00130923">
        <w:t xml:space="preserve"> </w:t>
      </w:r>
      <w:r w:rsidRPr="00130923">
        <w:t>in M</w:t>
      </w:r>
      <w:r w:rsidR="00EE7AFC" w:rsidRPr="00130923">
        <w:t>DTFs</w:t>
      </w:r>
      <w:r w:rsidR="004E0743" w:rsidRPr="00130923">
        <w:t xml:space="preserve">, </w:t>
      </w:r>
      <w:r w:rsidR="00BD30A2" w:rsidRPr="00CC5273">
        <w:t>One UN Funds</w:t>
      </w:r>
      <w:r w:rsidR="004E0743" w:rsidRPr="00130923">
        <w:t xml:space="preserve"> </w:t>
      </w:r>
      <w:r w:rsidRPr="00130923">
        <w:t xml:space="preserve">and UN </w:t>
      </w:r>
      <w:r w:rsidR="00A73C37" w:rsidRPr="00130923">
        <w:t>J</w:t>
      </w:r>
      <w:r w:rsidR="00EE7AFC" w:rsidRPr="00130923">
        <w:t>Ps</w:t>
      </w:r>
      <w:r w:rsidRPr="00130923">
        <w:t xml:space="preserve"> </w:t>
      </w:r>
      <w:r w:rsidR="00EE7AFC" w:rsidRPr="00130923">
        <w:t xml:space="preserve">using </w:t>
      </w:r>
      <w:r w:rsidRPr="00130923">
        <w:t>pass-through arrangements has been delegated to the Executive Coordinator of the MDTF Office reporting to the Assistant Administrator and Director</w:t>
      </w:r>
      <w:r w:rsidR="0049431E" w:rsidRPr="00130923">
        <w:t xml:space="preserve"> of the</w:t>
      </w:r>
      <w:r w:rsidRPr="00130923">
        <w:t xml:space="preserve"> </w:t>
      </w:r>
      <w:r w:rsidR="009733A5" w:rsidRPr="00130923">
        <w:t>Bureau of Management</w:t>
      </w:r>
      <w:r w:rsidRPr="00130923">
        <w:t>.</w:t>
      </w:r>
    </w:p>
    <w:p w:rsidR="003712C7" w:rsidRPr="00130923" w:rsidRDefault="003712C7" w:rsidP="003712C7">
      <w:pPr>
        <w:pStyle w:val="NormalWeb"/>
        <w:spacing w:before="0" w:beforeAutospacing="0" w:after="0" w:afterAutospacing="0"/>
        <w:jc w:val="both"/>
      </w:pPr>
    </w:p>
    <w:p w:rsidR="003712C7" w:rsidRPr="00130923" w:rsidRDefault="003712C7" w:rsidP="003712C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130923">
        <w:t>While accountability for UNDP’s A</w:t>
      </w:r>
      <w:r w:rsidR="00EE7AFC" w:rsidRPr="00130923">
        <w:t>A</w:t>
      </w:r>
      <w:r w:rsidRPr="00130923">
        <w:t xml:space="preserve"> function rests with the Executive Coordinator of the MDTF Office</w:t>
      </w:r>
      <w:r w:rsidRPr="00130923">
        <w:rPr>
          <w:rStyle w:val="FootnoteReference"/>
        </w:rPr>
        <w:footnoteReference w:id="4"/>
      </w:r>
      <w:r w:rsidRPr="00130923">
        <w:t>, specific tasks related to the A</w:t>
      </w:r>
      <w:r w:rsidR="00EE7AFC" w:rsidRPr="00130923">
        <w:t>A</w:t>
      </w:r>
      <w:r w:rsidRPr="00130923">
        <w:t xml:space="preserve"> role </w:t>
      </w:r>
      <w:r w:rsidR="0071388D">
        <w:t xml:space="preserve">may </w:t>
      </w:r>
      <w:r w:rsidRPr="00130923">
        <w:t>be performed</w:t>
      </w:r>
      <w:r w:rsidR="0071388D">
        <w:t>,</w:t>
      </w:r>
      <w:r w:rsidRPr="00130923">
        <w:t xml:space="preserve"> to the extent possible</w:t>
      </w:r>
      <w:r w:rsidR="0071388D">
        <w:t>,</w:t>
      </w:r>
      <w:r w:rsidRPr="00130923">
        <w:t xml:space="preserve"> by UNDP Country Offices with explicit delegation from the </w:t>
      </w:r>
      <w:r w:rsidR="00655BA2">
        <w:t xml:space="preserve">Executive Coordinator of the </w:t>
      </w:r>
      <w:r w:rsidRPr="00130923">
        <w:t xml:space="preserve">MDTF Office. Such delegation shall </w:t>
      </w:r>
      <w:r w:rsidR="0071388D">
        <w:t xml:space="preserve">be based on </w:t>
      </w:r>
      <w:r w:rsidR="00843FBB">
        <w:t xml:space="preserve">a </w:t>
      </w:r>
      <w:r w:rsidR="0071388D">
        <w:t>proper capacity assessment</w:t>
      </w:r>
      <w:r w:rsidR="00C739C7">
        <w:t xml:space="preserve">, including </w:t>
      </w:r>
      <w:r w:rsidR="00446665">
        <w:t xml:space="preserve">Country Office </w:t>
      </w:r>
      <w:r w:rsidR="00C739C7">
        <w:t>financial management performance assessments of the UNDP Comptroller</w:t>
      </w:r>
      <w:r w:rsidR="0071388D">
        <w:t xml:space="preserve"> and </w:t>
      </w:r>
      <w:r w:rsidR="00843FBB">
        <w:t xml:space="preserve">a </w:t>
      </w:r>
      <w:r w:rsidR="0071388D">
        <w:t xml:space="preserve">review of the </w:t>
      </w:r>
      <w:r w:rsidR="00843FBB">
        <w:t>associated</w:t>
      </w:r>
      <w:r w:rsidR="0071388D">
        <w:t xml:space="preserve"> costs and benefits </w:t>
      </w:r>
      <w:r w:rsidR="00843FBB">
        <w:t xml:space="preserve">of delegation and will </w:t>
      </w:r>
      <w:r w:rsidRPr="00130923">
        <w:t>include the details regarding how the Executive Coordinator of the MDTF Office will provide oversight over the delegated functions.</w:t>
      </w:r>
    </w:p>
    <w:p w:rsidR="003712C7" w:rsidRPr="00130923" w:rsidRDefault="003712C7" w:rsidP="003712C7">
      <w:pPr>
        <w:pStyle w:val="NormalWeb"/>
        <w:spacing w:before="0" w:beforeAutospacing="0" w:after="0" w:afterAutospacing="0"/>
        <w:jc w:val="both"/>
      </w:pPr>
    </w:p>
    <w:p w:rsidR="003712C7" w:rsidRPr="00CC5273" w:rsidRDefault="003712C7" w:rsidP="003712C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CC5273">
        <w:t>In particular the following will apply</w:t>
      </w:r>
      <w:r w:rsidR="00723840" w:rsidRPr="00CC5273">
        <w:t xml:space="preserve"> for each MDTF/JP/</w:t>
      </w:r>
      <w:r w:rsidR="00BD30A2" w:rsidRPr="00CC5273">
        <w:t>One UN Fund</w:t>
      </w:r>
      <w:r w:rsidRPr="00CC5273">
        <w:t>:</w:t>
      </w:r>
    </w:p>
    <w:p w:rsidR="003712C7" w:rsidRPr="00130923" w:rsidRDefault="003712C7" w:rsidP="003712C7">
      <w:pPr>
        <w:pStyle w:val="NormalWeb"/>
        <w:spacing w:before="0" w:beforeAutospacing="0" w:after="0" w:afterAutospacing="0"/>
        <w:ind w:left="360"/>
        <w:jc w:val="both"/>
      </w:pPr>
    </w:p>
    <w:p w:rsidR="003712C7" w:rsidRPr="00130923" w:rsidRDefault="003712C7" w:rsidP="003712C7">
      <w:pPr>
        <w:pStyle w:val="NormalWeb"/>
        <w:spacing w:before="0" w:beforeAutospacing="0" w:after="0" w:afterAutospacing="0"/>
        <w:ind w:left="360"/>
        <w:jc w:val="both"/>
      </w:pPr>
      <w:r w:rsidRPr="00130923">
        <w:t xml:space="preserve">Signature of related </w:t>
      </w:r>
      <w:r w:rsidR="00EE7AFC" w:rsidRPr="00130923">
        <w:t xml:space="preserve">MOU </w:t>
      </w:r>
      <w:r w:rsidRPr="00130923">
        <w:t xml:space="preserve">between Participating UN Organizations and UNDP as Administrative Agent as well as </w:t>
      </w:r>
      <w:r w:rsidR="009733A5" w:rsidRPr="00130923">
        <w:t>Standard Administrative Arrangements</w:t>
      </w:r>
      <w:r w:rsidRPr="00130923">
        <w:t xml:space="preserve"> </w:t>
      </w:r>
      <w:r w:rsidR="00EE7AFC" w:rsidRPr="00130923">
        <w:t xml:space="preserve">(SAA) </w:t>
      </w:r>
      <w:r w:rsidRPr="00130923">
        <w:t>between UNDP as A</w:t>
      </w:r>
      <w:r w:rsidR="00EE7AFC" w:rsidRPr="00130923">
        <w:t>A</w:t>
      </w:r>
      <w:r w:rsidRPr="00130923">
        <w:t xml:space="preserve"> and a donor will be signed for UNDP as A</w:t>
      </w:r>
      <w:r w:rsidR="00EE7AFC" w:rsidRPr="00130923">
        <w:t>A</w:t>
      </w:r>
      <w:r w:rsidRPr="00130923">
        <w:t xml:space="preserve"> by the Executive Coordinator of the MDTF Office who can authorize a UNDP official at the concerned Country Office to sign “for” him/her, where applicable on a case by case basis. </w:t>
      </w:r>
    </w:p>
    <w:p w:rsidR="003712C7" w:rsidRPr="00130923" w:rsidRDefault="003712C7" w:rsidP="003712C7">
      <w:pPr>
        <w:pStyle w:val="NormalWeb"/>
        <w:spacing w:before="0" w:beforeAutospacing="0" w:after="0" w:afterAutospacing="0"/>
        <w:ind w:left="360"/>
        <w:jc w:val="both"/>
      </w:pPr>
    </w:p>
    <w:p w:rsidR="003712C7" w:rsidRDefault="003712C7" w:rsidP="003712C7">
      <w:pPr>
        <w:pStyle w:val="NormalWeb"/>
        <w:spacing w:before="0" w:beforeAutospacing="0" w:after="0" w:afterAutospacing="0"/>
        <w:ind w:left="360"/>
        <w:jc w:val="both"/>
      </w:pPr>
      <w:r w:rsidRPr="00130923">
        <w:t>The submission of relevant narrative and financial reports, consolidated by UNDP as the A</w:t>
      </w:r>
      <w:r w:rsidR="00EE7AFC" w:rsidRPr="00130923">
        <w:t>A</w:t>
      </w:r>
      <w:r w:rsidRPr="00130923">
        <w:t>, will be governed by the applicable arrangements specified in the relevant M</w:t>
      </w:r>
      <w:r w:rsidR="00EE7AFC" w:rsidRPr="00130923">
        <w:t xml:space="preserve">OU </w:t>
      </w:r>
      <w:r w:rsidRPr="00130923">
        <w:t xml:space="preserve"> signed with Participating UN Organizations and </w:t>
      </w:r>
      <w:r w:rsidR="009733A5" w:rsidRPr="00130923">
        <w:t>S</w:t>
      </w:r>
      <w:r w:rsidR="00EE7AFC" w:rsidRPr="00130923">
        <w:t xml:space="preserve">AA </w:t>
      </w:r>
      <w:r w:rsidRPr="00130923">
        <w:t xml:space="preserve"> signed with donors. </w:t>
      </w:r>
    </w:p>
    <w:p w:rsidR="00A00BE9" w:rsidRDefault="00A00BE9" w:rsidP="003712C7">
      <w:pPr>
        <w:pStyle w:val="NormalWeb"/>
        <w:spacing w:before="0" w:beforeAutospacing="0" w:after="0" w:afterAutospacing="0"/>
        <w:ind w:left="360"/>
        <w:jc w:val="both"/>
      </w:pPr>
    </w:p>
    <w:p w:rsidR="00A00BE9" w:rsidRPr="00CC5273" w:rsidRDefault="00A00BE9" w:rsidP="00CC5273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CC5273">
        <w:rPr>
          <w:u w:val="single"/>
        </w:rPr>
        <w:t xml:space="preserve">Delegations of </w:t>
      </w:r>
      <w:r w:rsidR="00CC5273" w:rsidRPr="00CC5273">
        <w:rPr>
          <w:u w:val="single"/>
        </w:rPr>
        <w:t>A</w:t>
      </w:r>
      <w:r w:rsidRPr="00CC5273">
        <w:rPr>
          <w:u w:val="single"/>
        </w:rPr>
        <w:t>uthority:</w:t>
      </w:r>
    </w:p>
    <w:p w:rsidR="003712C7" w:rsidRPr="00130923" w:rsidRDefault="003712C7" w:rsidP="003712C7">
      <w:pPr>
        <w:pStyle w:val="NormalWeb"/>
        <w:spacing w:before="0" w:beforeAutospacing="0" w:after="0" w:afterAutospacing="0"/>
        <w:jc w:val="both"/>
      </w:pPr>
    </w:p>
    <w:p w:rsidR="003712C7" w:rsidRPr="00130923" w:rsidRDefault="003712C7" w:rsidP="003712C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130923">
        <w:t>In cases where the M</w:t>
      </w:r>
      <w:r w:rsidR="00EE7AFC" w:rsidRPr="00130923">
        <w:t xml:space="preserve">DTF </w:t>
      </w:r>
      <w:r w:rsidRPr="00130923">
        <w:t xml:space="preserve">is a </w:t>
      </w:r>
      <w:r w:rsidRPr="00130923">
        <w:rPr>
          <w:b/>
        </w:rPr>
        <w:t>single country operation</w:t>
      </w:r>
      <w:r w:rsidRPr="00130923">
        <w:t xml:space="preserve">, the Executive Coordinator of the MDTF Office </w:t>
      </w:r>
      <w:r w:rsidR="00843FBB">
        <w:t xml:space="preserve">may </w:t>
      </w:r>
      <w:r w:rsidRPr="00130923">
        <w:t>delegate</w:t>
      </w:r>
      <w:r w:rsidR="000750E9">
        <w:t>,</w:t>
      </w:r>
      <w:r w:rsidRPr="00130923">
        <w:t xml:space="preserve"> </w:t>
      </w:r>
      <w:r w:rsidR="000750E9">
        <w:t xml:space="preserve">with the concurrence of the Resident Representative, </w:t>
      </w:r>
      <w:r w:rsidRPr="00130923">
        <w:t>the performance of as many A</w:t>
      </w:r>
      <w:r w:rsidR="00EE7AFC" w:rsidRPr="00130923">
        <w:t>A</w:t>
      </w:r>
      <w:r w:rsidRPr="00130923">
        <w:t xml:space="preserve"> tasks as feasible to the UNDP </w:t>
      </w:r>
      <w:r w:rsidR="009733A5" w:rsidRPr="00130923">
        <w:t>Country Director</w:t>
      </w:r>
      <w:r w:rsidR="00C37A0A" w:rsidRPr="00130923">
        <w:t xml:space="preserve"> and where there is no Country Director, to the Senior Deputy Resident Representative. The Country Director/Senior Deputy Resident Representative will, in the performance </w:t>
      </w:r>
      <w:r w:rsidR="00130923" w:rsidRPr="00130923">
        <w:t>of the</w:t>
      </w:r>
      <w:r w:rsidR="00C37A0A" w:rsidRPr="00130923">
        <w:t xml:space="preserve"> AA </w:t>
      </w:r>
      <w:r w:rsidRPr="00130923">
        <w:t>tasks at the country level, be accountable to the Executive Coordinator of the MDTF Office. Detailed agreements on the delegated performance of specific A</w:t>
      </w:r>
      <w:r w:rsidR="00EE7AFC" w:rsidRPr="00130923">
        <w:t>A</w:t>
      </w:r>
      <w:r w:rsidRPr="00130923">
        <w:t xml:space="preserve"> tasks will be established by the MDTF Office on a case by case basis</w:t>
      </w:r>
      <w:r w:rsidR="00843FBB">
        <w:t xml:space="preserve">, through a Delegation of Authority document, </w:t>
      </w:r>
      <w:r w:rsidR="00A00BE9">
        <w:t xml:space="preserve">after having </w:t>
      </w:r>
      <w:r w:rsidRPr="00130923">
        <w:t>ensur</w:t>
      </w:r>
      <w:r w:rsidR="00A00BE9">
        <w:t>ed</w:t>
      </w:r>
      <w:r w:rsidRPr="00130923">
        <w:t xml:space="preserve"> that capacity requirements are met.</w:t>
      </w:r>
    </w:p>
    <w:p w:rsidR="003712C7" w:rsidRPr="00130923" w:rsidRDefault="003712C7" w:rsidP="003712C7">
      <w:pPr>
        <w:pStyle w:val="NormalWeb"/>
        <w:spacing w:before="0" w:beforeAutospacing="0" w:after="0" w:afterAutospacing="0"/>
        <w:ind w:left="360"/>
        <w:jc w:val="both"/>
      </w:pPr>
    </w:p>
    <w:p w:rsidR="003712C7" w:rsidRPr="00130923" w:rsidRDefault="003712C7" w:rsidP="003712C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130923">
        <w:t xml:space="preserve">In cases of </w:t>
      </w:r>
      <w:r w:rsidR="009733A5" w:rsidRPr="00130923">
        <w:t>One</w:t>
      </w:r>
      <w:r w:rsidRPr="00130923">
        <w:t xml:space="preserve"> </w:t>
      </w:r>
      <w:r w:rsidR="00723840">
        <w:t xml:space="preserve">UN </w:t>
      </w:r>
      <w:r w:rsidRPr="00130923">
        <w:t xml:space="preserve">Funds established in the </w:t>
      </w:r>
      <w:r w:rsidRPr="00130923">
        <w:rPr>
          <w:b/>
        </w:rPr>
        <w:t xml:space="preserve">One UN </w:t>
      </w:r>
      <w:r w:rsidR="00EE7AFC" w:rsidRPr="00130923">
        <w:rPr>
          <w:b/>
        </w:rPr>
        <w:t xml:space="preserve">Programme </w:t>
      </w:r>
      <w:r w:rsidRPr="00130923">
        <w:rPr>
          <w:b/>
        </w:rPr>
        <w:t xml:space="preserve"> countries</w:t>
      </w:r>
      <w:r w:rsidRPr="00130923">
        <w:t xml:space="preserve">  as well as any other UN </w:t>
      </w:r>
      <w:r w:rsidR="00A00BE9">
        <w:t>j</w:t>
      </w:r>
      <w:r w:rsidR="00A00BE9" w:rsidRPr="00130923">
        <w:t xml:space="preserve">oint </w:t>
      </w:r>
      <w:r w:rsidR="00A00BE9">
        <w:t>f</w:t>
      </w:r>
      <w:r w:rsidR="00A00BE9" w:rsidRPr="00130923">
        <w:t xml:space="preserve">und </w:t>
      </w:r>
      <w:r w:rsidRPr="00130923">
        <w:t xml:space="preserve">aimed at increasing coherence, leadership  and effectiveness of the UN system at the country level (using the pass-through </w:t>
      </w:r>
      <w:r w:rsidR="00A73C37" w:rsidRPr="00130923">
        <w:t xml:space="preserve">fund management </w:t>
      </w:r>
      <w:r w:rsidRPr="00130923">
        <w:t>arrangement), the performance of the A</w:t>
      </w:r>
      <w:r w:rsidR="00EE7AFC" w:rsidRPr="00130923">
        <w:t xml:space="preserve">A </w:t>
      </w:r>
      <w:r w:rsidRPr="00130923">
        <w:t xml:space="preserve"> tasks will be as follows:</w:t>
      </w:r>
    </w:p>
    <w:p w:rsidR="003712C7" w:rsidRPr="00130923" w:rsidRDefault="003712C7" w:rsidP="003712C7">
      <w:pPr>
        <w:pStyle w:val="NormalWeb"/>
        <w:spacing w:before="0" w:beforeAutospacing="0" w:after="0" w:afterAutospacing="0"/>
        <w:jc w:val="both"/>
      </w:pPr>
    </w:p>
    <w:p w:rsidR="00130923" w:rsidRPr="00130923" w:rsidRDefault="00F91AEE" w:rsidP="0013092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</w:pPr>
      <w:r w:rsidRPr="00130923">
        <w:t>For signature</w:t>
      </w:r>
      <w:r w:rsidR="003712C7" w:rsidRPr="00130923">
        <w:t xml:space="preserve"> of the respective M</w:t>
      </w:r>
      <w:r w:rsidR="00EE7AFC" w:rsidRPr="00130923">
        <w:t>OU and SAA</w:t>
      </w:r>
      <w:r w:rsidR="00A00BE9">
        <w:t>s</w:t>
      </w:r>
      <w:r w:rsidR="003712C7" w:rsidRPr="00130923">
        <w:t xml:space="preserve">: The UNDP Country Director (or UNDP Senior Deputy Resident Representative in Country Offices where there is no Country Director) will, </w:t>
      </w:r>
      <w:r w:rsidR="00A00BE9">
        <w:t>upon</w:t>
      </w:r>
      <w:r w:rsidR="00A00BE9" w:rsidRPr="00130923">
        <w:t xml:space="preserve"> </w:t>
      </w:r>
      <w:r w:rsidR="003712C7" w:rsidRPr="00130923">
        <w:t xml:space="preserve">due authorization </w:t>
      </w:r>
      <w:r w:rsidR="00A00BE9">
        <w:t xml:space="preserve">received </w:t>
      </w:r>
      <w:r w:rsidR="003712C7" w:rsidRPr="00130923">
        <w:t>from the Executive Coordinator of the MDTF Office, sign these documents on behalf of him/her for UNDP as A</w:t>
      </w:r>
      <w:r w:rsidRPr="00130923">
        <w:t>A</w:t>
      </w:r>
      <w:r w:rsidR="003712C7" w:rsidRPr="00130923">
        <w:t>. In addition, the UN Resident Coordinator will sign as UN Resident Coordinator in his/her capacity of Chairperson of the Joint Programme Steering Committee to signify the Resident Coordinator’s leadership of these funds</w:t>
      </w:r>
      <w:r w:rsidR="00130923" w:rsidRPr="00130923">
        <w:t>, as provided for in the MOU and SAA</w:t>
      </w:r>
      <w:r w:rsidR="00A00BE9">
        <w:t>s</w:t>
      </w:r>
      <w:r w:rsidR="00130923" w:rsidRPr="00130923">
        <w:t xml:space="preserve"> for the One UN Fund</w:t>
      </w:r>
      <w:r w:rsidR="003712C7" w:rsidRPr="00130923">
        <w:t xml:space="preserve">. </w:t>
      </w:r>
    </w:p>
    <w:p w:rsidR="003712C7" w:rsidRPr="00130923" w:rsidRDefault="003712C7" w:rsidP="00130923">
      <w:pPr>
        <w:pStyle w:val="NormalWeb"/>
        <w:spacing w:before="0" w:beforeAutospacing="0" w:after="0" w:afterAutospacing="0"/>
        <w:ind w:left="2880"/>
        <w:jc w:val="both"/>
      </w:pPr>
    </w:p>
    <w:p w:rsidR="003712C7" w:rsidRPr="00130923" w:rsidRDefault="003712C7" w:rsidP="00665AE5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</w:pPr>
      <w:r w:rsidRPr="00130923">
        <w:t xml:space="preserve">Other </w:t>
      </w:r>
      <w:r w:rsidR="00A00BE9">
        <w:t>AA</w:t>
      </w:r>
      <w:r w:rsidRPr="00130923">
        <w:t xml:space="preserve"> tasks </w:t>
      </w:r>
      <w:r w:rsidR="00A00BE9">
        <w:t xml:space="preserve">may </w:t>
      </w:r>
      <w:r w:rsidRPr="00130923">
        <w:t xml:space="preserve">be delegated by the Executive Coordinator of the MDTF Office to the UNDP </w:t>
      </w:r>
      <w:r w:rsidR="00130923" w:rsidRPr="00130923">
        <w:t xml:space="preserve">Country Director (or Senior Deputy </w:t>
      </w:r>
      <w:r w:rsidRPr="00130923">
        <w:t>Resident Representative</w:t>
      </w:r>
      <w:r w:rsidR="00130923" w:rsidRPr="00130923">
        <w:t>)</w:t>
      </w:r>
      <w:r w:rsidR="000750E9">
        <w:t>, with the concurrence of the Resident Representative,</w:t>
      </w:r>
      <w:r w:rsidRPr="00130923">
        <w:t xml:space="preserve"> on a case by case basis </w:t>
      </w:r>
      <w:r w:rsidR="00A00BE9">
        <w:t xml:space="preserve">after the Executive Director has </w:t>
      </w:r>
      <w:r w:rsidRPr="00130923">
        <w:t>ensur</w:t>
      </w:r>
      <w:r w:rsidR="00A00BE9">
        <w:t>ed</w:t>
      </w:r>
      <w:r w:rsidRPr="00130923">
        <w:t xml:space="preserve"> that capacity requirements are met. The </w:t>
      </w:r>
      <w:r w:rsidR="00130923" w:rsidRPr="00130923">
        <w:t xml:space="preserve">UNDP Country Director (or Senior Deputy Resident Representative) </w:t>
      </w:r>
      <w:r w:rsidRPr="00130923">
        <w:t>will, in the performance of AA tasks at the country level, be accountable to the Executive Coordinator of the MDTF Office</w:t>
      </w:r>
      <w:r w:rsidR="00DD3254" w:rsidRPr="00DD3254">
        <w:t xml:space="preserve"> </w:t>
      </w:r>
      <w:r w:rsidR="00DD3254" w:rsidRPr="00130923">
        <w:t xml:space="preserve">and ensure the proper delineation </w:t>
      </w:r>
      <w:r w:rsidR="00DD3254">
        <w:t xml:space="preserve">of </w:t>
      </w:r>
      <w:r w:rsidR="00DD3254" w:rsidRPr="00130923">
        <w:t>UNDP’s dual functions as a Participating Organization and AA</w:t>
      </w:r>
      <w:r w:rsidRPr="00130923">
        <w:t xml:space="preserve">.  </w:t>
      </w:r>
    </w:p>
    <w:p w:rsidR="003712C7" w:rsidRPr="00130923" w:rsidRDefault="003712C7" w:rsidP="003712C7">
      <w:pPr>
        <w:pStyle w:val="NormalWeb"/>
        <w:spacing w:before="0" w:beforeAutospacing="0" w:after="0" w:afterAutospacing="0"/>
        <w:ind w:left="1260"/>
        <w:jc w:val="both"/>
      </w:pPr>
    </w:p>
    <w:p w:rsidR="0057361B" w:rsidRPr="00130923" w:rsidRDefault="003712C7" w:rsidP="003712C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130923">
        <w:t xml:space="preserve">In cases </w:t>
      </w:r>
      <w:r w:rsidR="009701F4" w:rsidRPr="00130923">
        <w:t xml:space="preserve">of </w:t>
      </w:r>
    </w:p>
    <w:p w:rsidR="0057361B" w:rsidRPr="00843FBB" w:rsidRDefault="009701F4" w:rsidP="00665AE5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</w:pPr>
      <w:r w:rsidRPr="00843FBB">
        <w:t xml:space="preserve">multi-country </w:t>
      </w:r>
      <w:r w:rsidR="008D022D" w:rsidRPr="00843FBB">
        <w:t>MDTFs</w:t>
      </w:r>
      <w:r w:rsidRPr="00843FBB">
        <w:t xml:space="preserve">, </w:t>
      </w:r>
      <w:r w:rsidR="0057361B" w:rsidRPr="00843FBB">
        <w:t xml:space="preserve">such </w:t>
      </w:r>
      <w:r w:rsidRPr="00843FBB">
        <w:t>as the</w:t>
      </w:r>
      <w:hyperlink r:id="rId10" w:tooltip="슬쒇矔쒓矔" w:history="1">
        <w:r w:rsidR="00EE0EFB" w:rsidRPr="00843FBB">
          <w:rPr>
            <w:rStyle w:val="Hyperlink"/>
            <w:color w:val="auto"/>
            <w:u w:val="none"/>
          </w:rPr>
          <w:t xml:space="preserve"> </w:t>
        </w:r>
        <w:r w:rsidRPr="00843FBB">
          <w:rPr>
            <w:rStyle w:val="Hyperlink"/>
            <w:color w:val="auto"/>
            <w:u w:val="none"/>
          </w:rPr>
          <w:t>MDG Achievement Fund</w:t>
        </w:r>
      </w:hyperlink>
      <w:r w:rsidR="00843FBB">
        <w:t>;</w:t>
      </w:r>
      <w:r w:rsidRPr="00843FBB">
        <w:t xml:space="preserve"> </w:t>
      </w:r>
    </w:p>
    <w:p w:rsidR="0057361B" w:rsidRPr="00843FBB" w:rsidRDefault="003712C7" w:rsidP="00665AE5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</w:pPr>
      <w:r w:rsidRPr="00843FBB">
        <w:t>M</w:t>
      </w:r>
      <w:r w:rsidR="00843FBB">
        <w:t>DTFs w</w:t>
      </w:r>
      <w:r w:rsidR="009701F4" w:rsidRPr="00843FBB">
        <w:t xml:space="preserve">ith </w:t>
      </w:r>
      <w:r w:rsidRPr="00843FBB">
        <w:t>multi-country operation</w:t>
      </w:r>
      <w:r w:rsidR="009701F4" w:rsidRPr="00843FBB">
        <w:t>s</w:t>
      </w:r>
      <w:r w:rsidR="00646EF1" w:rsidRPr="00843FBB">
        <w:t xml:space="preserve">, such as the UN </w:t>
      </w:r>
      <w:proofErr w:type="spellStart"/>
      <w:r w:rsidR="00646EF1" w:rsidRPr="00843FBB">
        <w:t>Peacebuilding</w:t>
      </w:r>
      <w:proofErr w:type="spellEnd"/>
      <w:r w:rsidR="00646EF1" w:rsidRPr="00843FBB">
        <w:t xml:space="preserve"> Fund,</w:t>
      </w:r>
      <w:r w:rsidR="004E0743" w:rsidRPr="00843FBB">
        <w:t xml:space="preserve"> UN REDD Programme Fund</w:t>
      </w:r>
      <w:r w:rsidR="00433EFB">
        <w:t>;</w:t>
      </w:r>
      <w:r w:rsidR="004E0743" w:rsidRPr="00843FBB">
        <w:t xml:space="preserve"> </w:t>
      </w:r>
    </w:p>
    <w:p w:rsidR="00FB4C71" w:rsidRPr="00130923" w:rsidRDefault="00AF5D55" w:rsidP="00665AE5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</w:pPr>
      <w:r w:rsidRPr="00130923">
        <w:t>M</w:t>
      </w:r>
      <w:r w:rsidR="00843FBB">
        <w:t>DTFs w</w:t>
      </w:r>
      <w:r w:rsidRPr="00130923">
        <w:t xml:space="preserve">ith </w:t>
      </w:r>
      <w:r w:rsidR="003712C7" w:rsidRPr="00130923">
        <w:t>the decision</w:t>
      </w:r>
      <w:r w:rsidRPr="00130923">
        <w:t>-</w:t>
      </w:r>
      <w:r w:rsidR="003712C7" w:rsidRPr="00130923">
        <w:t xml:space="preserve">making body located in New York </w:t>
      </w:r>
      <w:r w:rsidR="009701F4" w:rsidRPr="00130923">
        <w:t>or other Headquarter units</w:t>
      </w:r>
      <w:r w:rsidR="00433EFB">
        <w:t>,</w:t>
      </w:r>
      <w:r w:rsidR="00C341BC" w:rsidRPr="00130923">
        <w:t xml:space="preserve"> </w:t>
      </w:r>
      <w:r w:rsidR="004E0743" w:rsidRPr="00130923">
        <w:t xml:space="preserve">such as the Central Fund For Influenza; </w:t>
      </w:r>
    </w:p>
    <w:p w:rsidR="004E0743" w:rsidRPr="00130923" w:rsidRDefault="00FB4C71" w:rsidP="00665AE5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</w:pPr>
      <w:r w:rsidRPr="00130923">
        <w:t>M</w:t>
      </w:r>
      <w:r w:rsidR="00843FBB">
        <w:t xml:space="preserve">DTFs </w:t>
      </w:r>
      <w:r w:rsidRPr="00130923">
        <w:t xml:space="preserve">operating in </w:t>
      </w:r>
      <w:r w:rsidR="003712C7" w:rsidRPr="00130923">
        <w:t xml:space="preserve">politically or operationally complex </w:t>
      </w:r>
      <w:r w:rsidRPr="00130923">
        <w:t xml:space="preserve">environments </w:t>
      </w:r>
      <w:r w:rsidR="003712C7" w:rsidRPr="00130923">
        <w:t xml:space="preserve">that </w:t>
      </w:r>
      <w:r w:rsidR="00843FBB">
        <w:t xml:space="preserve">may require </w:t>
      </w:r>
      <w:r w:rsidR="003712C7" w:rsidRPr="00130923">
        <w:t>the performance of the A</w:t>
      </w:r>
      <w:r w:rsidR="00843FBB">
        <w:t>A</w:t>
      </w:r>
      <w:r w:rsidR="003712C7" w:rsidRPr="00130923">
        <w:t xml:space="preserve"> functions from Headquarters in New York, </w:t>
      </w:r>
      <w:r w:rsidR="00D7407B" w:rsidRPr="00130923">
        <w:t xml:space="preserve">such as the </w:t>
      </w:r>
      <w:r w:rsidR="00D7407B" w:rsidRPr="00130923">
        <w:rPr>
          <w:lang w:val="en-GB"/>
        </w:rPr>
        <w:t>UNDG Iraq Trust Fund</w:t>
      </w:r>
      <w:r w:rsidR="004E0743" w:rsidRPr="00130923">
        <w:rPr>
          <w:lang w:val="en-GB"/>
        </w:rPr>
        <w:t>; and/or</w:t>
      </w:r>
    </w:p>
    <w:p w:rsidR="00FB4C71" w:rsidRPr="00130923" w:rsidRDefault="004E0743" w:rsidP="004E0743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</w:pPr>
      <w:r w:rsidRPr="00130923">
        <w:rPr>
          <w:lang w:val="en-GB"/>
        </w:rPr>
        <w:t xml:space="preserve">MDTFs with inadequate contribution base where the cost of delegating the authority to UNDP Country Offices outweighs the potential benefits;   </w:t>
      </w:r>
      <w:r w:rsidR="009733A5" w:rsidRPr="00130923">
        <w:rPr>
          <w:lang w:val="en-GB"/>
        </w:rPr>
        <w:t xml:space="preserve"> </w:t>
      </w:r>
    </w:p>
    <w:p w:rsidR="003712C7" w:rsidRPr="00130923" w:rsidRDefault="003712C7" w:rsidP="00FB4C71">
      <w:pPr>
        <w:pStyle w:val="NormalWeb"/>
        <w:spacing w:before="0" w:beforeAutospacing="0" w:after="0" w:afterAutospacing="0"/>
        <w:ind w:left="1260"/>
        <w:jc w:val="both"/>
      </w:pPr>
      <w:proofErr w:type="gramStart"/>
      <w:r w:rsidRPr="00130923">
        <w:t>the</w:t>
      </w:r>
      <w:proofErr w:type="gramEnd"/>
      <w:r w:rsidRPr="00130923">
        <w:t xml:space="preserve"> A</w:t>
      </w:r>
      <w:r w:rsidR="00843FBB">
        <w:t>A</w:t>
      </w:r>
      <w:r w:rsidRPr="00130923">
        <w:t xml:space="preserve"> tasks </w:t>
      </w:r>
      <w:r w:rsidR="00433EFB">
        <w:t xml:space="preserve">may not </w:t>
      </w:r>
      <w:r w:rsidRPr="00130923">
        <w:t xml:space="preserve">be </w:t>
      </w:r>
      <w:r w:rsidR="00433EFB">
        <w:t xml:space="preserve">delegated and will be </w:t>
      </w:r>
      <w:r w:rsidRPr="00130923">
        <w:t>performed directly by the MDTF Office.</w:t>
      </w:r>
    </w:p>
    <w:p w:rsidR="003712C7" w:rsidRPr="00130923" w:rsidRDefault="003712C7" w:rsidP="003712C7">
      <w:pPr>
        <w:pStyle w:val="NormalWeb"/>
        <w:spacing w:before="0" w:beforeAutospacing="0" w:after="0" w:afterAutospacing="0"/>
        <w:ind w:left="720"/>
        <w:jc w:val="both"/>
      </w:pPr>
    </w:p>
    <w:p w:rsidR="00130923" w:rsidRPr="00130923" w:rsidRDefault="003712C7" w:rsidP="003712C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130923">
        <w:t xml:space="preserve">In </w:t>
      </w:r>
      <w:r w:rsidRPr="00130923">
        <w:rPr>
          <w:b/>
        </w:rPr>
        <w:t>all other UN joint programmes using pass-through arrangements</w:t>
      </w:r>
      <w:r w:rsidRPr="00130923">
        <w:t xml:space="preserve">, </w:t>
      </w:r>
      <w:r w:rsidR="004E0743" w:rsidRPr="00130923">
        <w:t xml:space="preserve">some aspects of </w:t>
      </w:r>
      <w:r w:rsidRPr="00130923">
        <w:t xml:space="preserve">UNDP’s tasks as AA </w:t>
      </w:r>
      <w:r w:rsidR="00843FBB">
        <w:t>may</w:t>
      </w:r>
      <w:r w:rsidRPr="00130923">
        <w:t xml:space="preserve">, when explicitly delegated by the Executive Coordinator of the MDTF Office, be performed by the UNDP Country Office consistent with the </w:t>
      </w:r>
      <w:hyperlink r:id="rId11" w:history="1">
        <w:r w:rsidRPr="00130923">
          <w:rPr>
            <w:rStyle w:val="Hyperlink"/>
            <w:color w:val="auto"/>
          </w:rPr>
          <w:t>UNDG Joint Programming Guidelines</w:t>
        </w:r>
      </w:hyperlink>
      <w:r w:rsidRPr="00130923">
        <w:t xml:space="preserve"> currently in force</w:t>
      </w:r>
      <w:r w:rsidR="00843FBB">
        <w:t xml:space="preserve"> and the Delegation of Authority document that will be issued by the Executive Coordinator of the MDTF Office. </w:t>
      </w:r>
      <w:r w:rsidR="008E19BB">
        <w:t>With the concurrence of the Resident Representative,</w:t>
      </w:r>
      <w:r w:rsidR="000750E9">
        <w:t xml:space="preserve"> t</w:t>
      </w:r>
      <w:r w:rsidRPr="00130923">
        <w:t xml:space="preserve">he UNDP </w:t>
      </w:r>
      <w:r w:rsidR="009733A5" w:rsidRPr="00130923">
        <w:t>Country Director</w:t>
      </w:r>
      <w:r w:rsidR="00130923" w:rsidRPr="00130923">
        <w:t xml:space="preserve">/Senior Deputy Resident Representative </w:t>
      </w:r>
      <w:r w:rsidRPr="00130923">
        <w:t>will, in the performance of A</w:t>
      </w:r>
      <w:r w:rsidR="00843FBB">
        <w:t>A</w:t>
      </w:r>
      <w:r w:rsidRPr="00130923">
        <w:t xml:space="preserve"> tasks at the country level, be accountable to the Executive Coordinator of the MDTF Office</w:t>
      </w:r>
      <w:r w:rsidR="004E0743" w:rsidRPr="00130923">
        <w:t xml:space="preserve"> and ensure the proper delineation </w:t>
      </w:r>
      <w:r w:rsidR="00DD3254">
        <w:t xml:space="preserve">of </w:t>
      </w:r>
      <w:r w:rsidR="00DD3254" w:rsidRPr="00130923">
        <w:t>UNDP’s</w:t>
      </w:r>
      <w:r w:rsidR="004E0743" w:rsidRPr="00130923">
        <w:t xml:space="preserve"> dual functions as a Participating Organization and A</w:t>
      </w:r>
      <w:r w:rsidR="00130923" w:rsidRPr="00130923">
        <w:t>A.</w:t>
      </w:r>
    </w:p>
    <w:p w:rsidR="003712C7" w:rsidRPr="00130923" w:rsidRDefault="003712C7" w:rsidP="00130923">
      <w:pPr>
        <w:pStyle w:val="NormalWeb"/>
        <w:spacing w:before="0" w:beforeAutospacing="0" w:after="0" w:afterAutospacing="0"/>
        <w:ind w:left="1080"/>
        <w:jc w:val="both"/>
      </w:pPr>
      <w:r w:rsidRPr="00130923">
        <w:t xml:space="preserve">  </w:t>
      </w:r>
    </w:p>
    <w:p w:rsidR="009579C7" w:rsidRPr="00130923" w:rsidRDefault="003712C7" w:rsidP="009579C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130923">
        <w:t xml:space="preserve">In carrying out UNDP’s </w:t>
      </w:r>
      <w:r w:rsidR="00DC6DC7" w:rsidRPr="00130923">
        <w:t>A</w:t>
      </w:r>
      <w:r w:rsidR="00DC6DC7">
        <w:t>A</w:t>
      </w:r>
      <w:r w:rsidRPr="00130923">
        <w:t xml:space="preserve"> functions, the MDTF Office will maintain the highest standards of transparency and accountability. It will draw on the expertise of other </w:t>
      </w:r>
      <w:proofErr w:type="spellStart"/>
      <w:r w:rsidRPr="00130923">
        <w:t>bureaux</w:t>
      </w:r>
      <w:proofErr w:type="spellEnd"/>
      <w:r w:rsidRPr="00130923">
        <w:t xml:space="preserve"> (such as </w:t>
      </w:r>
      <w:r w:rsidR="009579C7" w:rsidRPr="00130923">
        <w:t>Bureau of Development policy (</w:t>
      </w:r>
      <w:r w:rsidRPr="00130923">
        <w:t>BDP</w:t>
      </w:r>
      <w:r w:rsidR="009579C7" w:rsidRPr="00130923">
        <w:t>)</w:t>
      </w:r>
      <w:r w:rsidRPr="00130923">
        <w:t xml:space="preserve">, </w:t>
      </w:r>
      <w:r w:rsidR="009579C7" w:rsidRPr="00130923">
        <w:t>the Partnerships Bureau (PB)</w:t>
      </w:r>
      <w:r w:rsidRPr="00130923">
        <w:t xml:space="preserve"> and </w:t>
      </w:r>
      <w:r w:rsidR="009579C7" w:rsidRPr="00130923">
        <w:t xml:space="preserve">the Bureau of Crisis Prevention and Recovery </w:t>
      </w:r>
      <w:r w:rsidR="00CE2700" w:rsidRPr="00130923">
        <w:t>(BCPR</w:t>
      </w:r>
      <w:r w:rsidRPr="00130923">
        <w:t>)</w:t>
      </w:r>
      <w:r w:rsidR="00CE2700" w:rsidRPr="00130923">
        <w:t>.</w:t>
      </w:r>
      <w:r w:rsidRPr="00130923">
        <w:t xml:space="preserve"> As </w:t>
      </w:r>
      <w:r w:rsidR="00CE2700" w:rsidRPr="00130923">
        <w:t>appropriate,</w:t>
      </w:r>
      <w:r w:rsidRPr="00130923">
        <w:t xml:space="preserve"> the MDTF Office will consult with the </w:t>
      </w:r>
      <w:r w:rsidR="009579C7" w:rsidRPr="00130923">
        <w:t xml:space="preserve">Legal Support </w:t>
      </w:r>
      <w:r w:rsidRPr="00130923">
        <w:t>Office</w:t>
      </w:r>
      <w:r w:rsidR="008E19BB">
        <w:t xml:space="preserve">, </w:t>
      </w:r>
      <w:r w:rsidR="008E19BB" w:rsidRPr="00130923">
        <w:t>Bureau of Management</w:t>
      </w:r>
      <w:r w:rsidRPr="00130923">
        <w:t xml:space="preserve"> </w:t>
      </w:r>
      <w:r w:rsidR="009579C7" w:rsidRPr="00130923">
        <w:t>(LSO</w:t>
      </w:r>
      <w:r w:rsidR="008E19BB">
        <w:t>/BOM</w:t>
      </w:r>
      <w:r w:rsidR="009579C7" w:rsidRPr="00130923">
        <w:t>) and the UNDG inter-agency Fiduciary Management Oversight Group (FMOG</w:t>
      </w:r>
      <w:r w:rsidR="00130923" w:rsidRPr="00130923">
        <w:t>) regarding</w:t>
      </w:r>
      <w:r w:rsidRPr="00130923">
        <w:t xml:space="preserve"> the clearance of </w:t>
      </w:r>
      <w:r w:rsidR="00CE2700" w:rsidRPr="00130923">
        <w:t xml:space="preserve">substantial deviations (‘substantial’ </w:t>
      </w:r>
      <w:r w:rsidR="003D5DEB">
        <w:t xml:space="preserve">defined </w:t>
      </w:r>
      <w:r w:rsidR="00DC6DC7">
        <w:t xml:space="preserve">as </w:t>
      </w:r>
      <w:r w:rsidR="00DC6DC7" w:rsidRPr="00130923">
        <w:t>changes</w:t>
      </w:r>
      <w:r w:rsidR="00CE2700" w:rsidRPr="00130923">
        <w:t xml:space="preserve"> </w:t>
      </w:r>
      <w:r w:rsidR="003D5DEB">
        <w:t xml:space="preserve">to the </w:t>
      </w:r>
      <w:r w:rsidR="00CE2700" w:rsidRPr="00130923">
        <w:t>legal relationships described in the M</w:t>
      </w:r>
      <w:r w:rsidR="004E07DB">
        <w:t>OU</w:t>
      </w:r>
      <w:r w:rsidR="00CE2700" w:rsidRPr="00130923">
        <w:t xml:space="preserve">, the governance mechanisms, reporting arrangements or equivalent) to the </w:t>
      </w:r>
      <w:r w:rsidR="004E07DB">
        <w:t xml:space="preserve">MOU </w:t>
      </w:r>
      <w:r w:rsidRPr="00130923">
        <w:t xml:space="preserve">and </w:t>
      </w:r>
      <w:r w:rsidR="009733A5" w:rsidRPr="00130923">
        <w:t>S</w:t>
      </w:r>
      <w:r w:rsidR="004E07DB">
        <w:t xml:space="preserve">AA. </w:t>
      </w:r>
      <w:r w:rsidRPr="00130923">
        <w:t xml:space="preserve"> </w:t>
      </w:r>
    </w:p>
    <w:p w:rsidR="009579C7" w:rsidRPr="00130923" w:rsidRDefault="009579C7" w:rsidP="009579C7">
      <w:pPr>
        <w:pStyle w:val="NormalWeb"/>
        <w:spacing w:before="0" w:beforeAutospacing="0" w:after="0" w:afterAutospacing="0"/>
        <w:ind w:left="360"/>
        <w:jc w:val="both"/>
      </w:pPr>
    </w:p>
    <w:p w:rsidR="003712C7" w:rsidRPr="00130923" w:rsidRDefault="003712C7" w:rsidP="009579C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130923">
        <w:t>The MDTF Office will act as the UNDP Headquarter</w:t>
      </w:r>
      <w:r w:rsidR="00433EFB">
        <w:t>s</w:t>
      </w:r>
      <w:r w:rsidRPr="00130923">
        <w:t xml:space="preserve"> focal point and repository of </w:t>
      </w:r>
      <w:r w:rsidR="00433EFB">
        <w:t>all</w:t>
      </w:r>
      <w:r w:rsidR="00433EFB" w:rsidRPr="00130923">
        <w:t xml:space="preserve"> </w:t>
      </w:r>
      <w:r w:rsidRPr="00130923">
        <w:t>documents in relation to M</w:t>
      </w:r>
      <w:r w:rsidR="003D5DEB">
        <w:t>DTFs</w:t>
      </w:r>
      <w:r w:rsidR="009579C7" w:rsidRPr="00130923">
        <w:t xml:space="preserve">, One UN Funds </w:t>
      </w:r>
      <w:r w:rsidRPr="00130923">
        <w:t xml:space="preserve">and </w:t>
      </w:r>
      <w:r w:rsidR="003D5DEB">
        <w:t>JPs</w:t>
      </w:r>
      <w:r w:rsidRPr="00130923">
        <w:t xml:space="preserve"> for which UNDP is performing the A</w:t>
      </w:r>
      <w:r w:rsidR="003D5DEB">
        <w:t>A</w:t>
      </w:r>
      <w:r w:rsidRPr="00130923">
        <w:t xml:space="preserve"> function</w:t>
      </w:r>
      <w:r w:rsidR="003D5DEB">
        <w:t>s</w:t>
      </w:r>
      <w:r w:rsidRPr="00130923">
        <w:t xml:space="preserve">. The MDTF Office will ensure the consistent application of </w:t>
      </w:r>
      <w:r w:rsidR="00433EFB" w:rsidRPr="00130923">
        <w:t>UNDG</w:t>
      </w:r>
      <w:r w:rsidR="00433EFB">
        <w:t>-</w:t>
      </w:r>
      <w:r w:rsidR="009579C7" w:rsidRPr="00130923">
        <w:t xml:space="preserve">wide agreed </w:t>
      </w:r>
      <w:r w:rsidR="00290BB0" w:rsidRPr="00130923">
        <w:t>arrangements</w:t>
      </w:r>
      <w:r w:rsidR="009579C7" w:rsidRPr="00130923">
        <w:t xml:space="preserve"> regarding MDTFs as contained in applicable UNDG documents</w:t>
      </w:r>
      <w:r w:rsidR="00433EFB">
        <w:t>,</w:t>
      </w:r>
      <w:r w:rsidR="009579C7" w:rsidRPr="00130923">
        <w:t xml:space="preserve"> such </w:t>
      </w:r>
      <w:r w:rsidR="003D5DEB">
        <w:t xml:space="preserve">as the section on “Accountability for MDTFs and JPs” of the </w:t>
      </w:r>
      <w:r w:rsidR="00290BB0" w:rsidRPr="00130923">
        <w:t>“The Management and Accountability System of the UN Development and Resident Coordinator System including the “functional firewall” for the RC System</w:t>
      </w:r>
      <w:r w:rsidR="003D5DEB">
        <w:t>”</w:t>
      </w:r>
      <w:r w:rsidR="00290BB0" w:rsidRPr="00130923" w:rsidDel="009733A5">
        <w:t xml:space="preserve"> </w:t>
      </w:r>
      <w:r w:rsidR="00290BB0" w:rsidRPr="00130923">
        <w:t>(27 August 2008) and “</w:t>
      </w:r>
      <w:r w:rsidR="005E2CE4" w:rsidRPr="00130923">
        <w:t xml:space="preserve">Protocol on the </w:t>
      </w:r>
      <w:r w:rsidR="003D5DEB">
        <w:t>R</w:t>
      </w:r>
      <w:r w:rsidR="005E2CE4" w:rsidRPr="00130923">
        <w:t>ole of the A</w:t>
      </w:r>
      <w:r w:rsidR="003D5DEB">
        <w:t>A</w:t>
      </w:r>
      <w:r w:rsidR="005E2CE4" w:rsidRPr="00130923">
        <w:t xml:space="preserve"> for M</w:t>
      </w:r>
      <w:r w:rsidR="003D5DEB">
        <w:t>DTFs, JPs</w:t>
      </w:r>
      <w:r w:rsidR="005E2CE4" w:rsidRPr="00130923">
        <w:t xml:space="preserve"> and One Funds</w:t>
      </w:r>
      <w:r w:rsidR="003D5DEB">
        <w:t>”</w:t>
      </w:r>
      <w:r w:rsidR="005E2CE4" w:rsidRPr="00130923">
        <w:t xml:space="preserve"> </w:t>
      </w:r>
      <w:r w:rsidR="00290BB0" w:rsidRPr="00130923">
        <w:t>(30 October 2008)</w:t>
      </w:r>
      <w:r w:rsidR="00433EFB">
        <w:t>,</w:t>
      </w:r>
      <w:r w:rsidR="00290BB0" w:rsidRPr="00130923">
        <w:t xml:space="preserve"> </w:t>
      </w:r>
      <w:r w:rsidRPr="00130923">
        <w:t>and facilitate the systematic sharing of best-practices of UNDP’s implementation of its A</w:t>
      </w:r>
      <w:r w:rsidR="003D5DEB">
        <w:t>A</w:t>
      </w:r>
      <w:r w:rsidRPr="00130923">
        <w:t xml:space="preserve"> functions. </w:t>
      </w:r>
    </w:p>
    <w:p w:rsidR="003712C7" w:rsidRPr="00130923" w:rsidRDefault="003712C7" w:rsidP="003712C7">
      <w:pPr>
        <w:pStyle w:val="NormalWeb"/>
        <w:spacing w:before="0" w:beforeAutospacing="0" w:after="0" w:afterAutospacing="0"/>
        <w:jc w:val="both"/>
      </w:pPr>
    </w:p>
    <w:p w:rsidR="003712C7" w:rsidRPr="00130923" w:rsidRDefault="003712C7" w:rsidP="003712C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130923">
        <w:t>Based on applicable guidelines of the Bureau of Management, a transparent apportionment of the associated UNDP A</w:t>
      </w:r>
      <w:r w:rsidR="003D5DEB">
        <w:t>A</w:t>
      </w:r>
      <w:r w:rsidRPr="00130923">
        <w:t xml:space="preserve"> fee (1% of </w:t>
      </w:r>
      <w:r w:rsidR="003D5DEB">
        <w:t xml:space="preserve">donor </w:t>
      </w:r>
      <w:r w:rsidRPr="00130923">
        <w:t>contributions to M</w:t>
      </w:r>
      <w:r w:rsidR="003D5DEB">
        <w:t xml:space="preserve">DTFs, JPs and One UN Funds  </w:t>
      </w:r>
      <w:r w:rsidRPr="00130923">
        <w:t xml:space="preserve"> using the pass-through modality) between the MDTF Office, the UNDP Country Office </w:t>
      </w:r>
      <w:r w:rsidR="00DC6DC7">
        <w:t>(</w:t>
      </w:r>
      <w:r w:rsidR="006C4CDC">
        <w:t xml:space="preserve">that have received Delegations </w:t>
      </w:r>
      <w:r w:rsidR="006C4CDC" w:rsidRPr="006C4CDC">
        <w:t xml:space="preserve">of </w:t>
      </w:r>
      <w:r w:rsidR="006C4CDC">
        <w:t>Authority</w:t>
      </w:r>
      <w:r w:rsidR="00DC6DC7">
        <w:t xml:space="preserve">) </w:t>
      </w:r>
      <w:r w:rsidRPr="00130923">
        <w:t>and HQ Central Services reflecting the division of labor and associated workload of the different units will be agreed on up front</w:t>
      </w:r>
      <w:r w:rsidR="00DC6DC7">
        <w:t>.</w:t>
      </w:r>
    </w:p>
    <w:p w:rsidR="004879C5" w:rsidRPr="00130923" w:rsidRDefault="004879C5" w:rsidP="004879C5">
      <w:pPr>
        <w:pStyle w:val="NormalWeb"/>
        <w:spacing w:before="0" w:beforeAutospacing="0" w:after="0" w:afterAutospacing="0"/>
        <w:jc w:val="both"/>
      </w:pPr>
    </w:p>
    <w:p w:rsidR="001B4FFC" w:rsidRPr="00130923" w:rsidRDefault="004879C5" w:rsidP="001B4FFC">
      <w:pPr>
        <w:jc w:val="both"/>
      </w:pPr>
      <w:r w:rsidRPr="00130923">
        <w:t xml:space="preserve">The Executive Coordinator of the MDTF Office will submit </w:t>
      </w:r>
      <w:r w:rsidR="00BF27A5">
        <w:t xml:space="preserve">an </w:t>
      </w:r>
      <w:r w:rsidR="00C85959" w:rsidRPr="00130923">
        <w:t>a</w:t>
      </w:r>
      <w:r w:rsidRPr="00130923">
        <w:t xml:space="preserve">nnual report on the                              activities of the MDTF Office to the Administrator, through the Assistant Administrator                     and Director of </w:t>
      </w:r>
      <w:r w:rsidR="008B45A2" w:rsidRPr="00130923">
        <w:t xml:space="preserve">the </w:t>
      </w:r>
      <w:r w:rsidR="009733A5" w:rsidRPr="00130923">
        <w:t>Bureau of Management</w:t>
      </w:r>
      <w:r w:rsidRPr="00130923">
        <w:t>, with a copy to the Associate Administrator</w:t>
      </w:r>
      <w:r w:rsidR="00DC6DC7">
        <w:t>, by 30 April</w:t>
      </w:r>
      <w:r w:rsidR="00390B9D">
        <w:t xml:space="preserve"> of the following year</w:t>
      </w:r>
      <w:r w:rsidRPr="00130923">
        <w:t xml:space="preserve">. </w:t>
      </w:r>
      <w:r w:rsidR="009733A5" w:rsidRPr="00130923">
        <w:t xml:space="preserve">The Executive Coordinator will also </w:t>
      </w:r>
      <w:r w:rsidR="00290BB0" w:rsidRPr="00130923">
        <w:t xml:space="preserve">submit an annual </w:t>
      </w:r>
      <w:r w:rsidR="001B4FFC" w:rsidRPr="00130923">
        <w:t xml:space="preserve">report to the </w:t>
      </w:r>
      <w:r w:rsidR="00BF27A5">
        <w:t xml:space="preserve">UNDG </w:t>
      </w:r>
      <w:r w:rsidR="001B4FFC" w:rsidRPr="00130923">
        <w:t xml:space="preserve">Oversight Committees, in accordance with </w:t>
      </w:r>
      <w:r w:rsidR="00DC6DC7">
        <w:t xml:space="preserve">the </w:t>
      </w:r>
      <w:r w:rsidR="001B4FFC" w:rsidRPr="00130923">
        <w:t xml:space="preserve">UNDG </w:t>
      </w:r>
      <w:r w:rsidR="00DC6DC7">
        <w:t xml:space="preserve">Accountability for MDTFs and JPs </w:t>
      </w:r>
      <w:r w:rsidR="00DC6DC7" w:rsidRPr="00130923">
        <w:t>Guidelines</w:t>
      </w:r>
      <w:r w:rsidR="001B4FFC" w:rsidRPr="00130923">
        <w:t xml:space="preserve">, on fund allocation, disbursement and achievements and challenges in acting as AA </w:t>
      </w:r>
      <w:r w:rsidR="00DC6DC7">
        <w:t>including identifying any</w:t>
      </w:r>
      <w:r w:rsidR="00BF27A5">
        <w:t xml:space="preserve"> aberration</w:t>
      </w:r>
      <w:r w:rsidR="00DC6DC7">
        <w:t>s</w:t>
      </w:r>
      <w:r w:rsidR="00390B9D">
        <w:t xml:space="preserve"> in </w:t>
      </w:r>
      <w:r w:rsidR="006C4CDC">
        <w:t>relation to agreed arrangements</w:t>
      </w:r>
      <w:r w:rsidR="00921D04">
        <w:t>,</w:t>
      </w:r>
      <w:r w:rsidR="00DC6DC7">
        <w:t xml:space="preserve"> no later than 30 June</w:t>
      </w:r>
      <w:r w:rsidR="00390B9D">
        <w:t xml:space="preserve"> of the following year</w:t>
      </w:r>
      <w:r w:rsidR="00DC6DC7">
        <w:t>.</w:t>
      </w:r>
      <w:r w:rsidR="00290BB0" w:rsidRPr="00130923">
        <w:t xml:space="preserve"> </w:t>
      </w:r>
    </w:p>
    <w:p w:rsidR="001B4FFC" w:rsidRPr="00107EE9" w:rsidRDefault="001B4FFC" w:rsidP="001B4FFC">
      <w:pPr>
        <w:jc w:val="both"/>
        <w:rPr>
          <w:sz w:val="22"/>
          <w:szCs w:val="22"/>
        </w:rPr>
      </w:pPr>
    </w:p>
    <w:p w:rsidR="00184962" w:rsidRDefault="00184962">
      <w:pPr>
        <w:pStyle w:val="NormalWeb"/>
        <w:spacing w:before="0" w:beforeAutospacing="0" w:after="0" w:afterAutospacing="0"/>
        <w:ind w:left="360"/>
        <w:jc w:val="both"/>
      </w:pPr>
    </w:p>
    <w:p w:rsidR="004879C5" w:rsidRPr="008B119B" w:rsidRDefault="004879C5" w:rsidP="003712C7">
      <w:pPr>
        <w:pStyle w:val="NormalWeb"/>
        <w:spacing w:before="0" w:beforeAutospacing="0" w:after="0" w:afterAutospacing="0"/>
        <w:ind w:left="360"/>
        <w:jc w:val="both"/>
      </w:pPr>
    </w:p>
    <w:p w:rsidR="00EE0EFB" w:rsidRPr="008B119B" w:rsidRDefault="00EE0EFB" w:rsidP="00693C5A">
      <w:pPr>
        <w:ind w:firstLine="360"/>
      </w:pPr>
    </w:p>
    <w:sectPr w:rsidR="00EE0EFB" w:rsidRPr="008B119B" w:rsidSect="00C341B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CF" w:rsidRDefault="006D5ECF">
      <w:r>
        <w:separator/>
      </w:r>
    </w:p>
  </w:endnote>
  <w:endnote w:type="continuationSeparator" w:id="1">
    <w:p w:rsidR="006D5ECF" w:rsidRDefault="006D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79" w:rsidRDefault="0046028C" w:rsidP="00264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08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879" w:rsidRDefault="00290879" w:rsidP="00C341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79" w:rsidRPr="00EA3083" w:rsidRDefault="0046028C" w:rsidP="0026422A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18"/>
        <w:szCs w:val="18"/>
      </w:rPr>
    </w:pPr>
    <w:r w:rsidRPr="00EA3083">
      <w:rPr>
        <w:rStyle w:val="PageNumber"/>
        <w:rFonts w:ascii="Arial" w:hAnsi="Arial" w:cs="Arial"/>
        <w:b/>
        <w:sz w:val="18"/>
        <w:szCs w:val="18"/>
      </w:rPr>
      <w:fldChar w:fldCharType="begin"/>
    </w:r>
    <w:r w:rsidR="00290879" w:rsidRPr="00EA3083">
      <w:rPr>
        <w:rStyle w:val="PageNumber"/>
        <w:rFonts w:ascii="Arial" w:hAnsi="Arial" w:cs="Arial"/>
        <w:b/>
        <w:sz w:val="18"/>
        <w:szCs w:val="18"/>
      </w:rPr>
      <w:instrText xml:space="preserve">PAGE  </w:instrText>
    </w:r>
    <w:r w:rsidRPr="00EA308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F23EE">
      <w:rPr>
        <w:rStyle w:val="PageNumber"/>
        <w:rFonts w:ascii="Arial" w:hAnsi="Arial" w:cs="Arial"/>
        <w:b/>
        <w:noProof/>
        <w:sz w:val="18"/>
        <w:szCs w:val="18"/>
      </w:rPr>
      <w:t>6</w:t>
    </w:r>
    <w:r w:rsidRPr="00EA3083">
      <w:rPr>
        <w:rStyle w:val="PageNumber"/>
        <w:rFonts w:ascii="Arial" w:hAnsi="Arial" w:cs="Arial"/>
        <w:b/>
        <w:sz w:val="18"/>
        <w:szCs w:val="18"/>
      </w:rPr>
      <w:fldChar w:fldCharType="end"/>
    </w:r>
  </w:p>
  <w:p w:rsidR="00290879" w:rsidRDefault="00290879" w:rsidP="00C341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CF" w:rsidRDefault="006D5ECF">
      <w:r>
        <w:separator/>
      </w:r>
    </w:p>
  </w:footnote>
  <w:footnote w:type="continuationSeparator" w:id="1">
    <w:p w:rsidR="006D5ECF" w:rsidRDefault="006D5ECF">
      <w:r>
        <w:continuationSeparator/>
      </w:r>
    </w:p>
  </w:footnote>
  <w:footnote w:id="2">
    <w:p w:rsidR="0071388D" w:rsidRPr="00DA5BDC" w:rsidRDefault="0071388D" w:rsidP="0071388D">
      <w:pPr>
        <w:pStyle w:val="FootnoteText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Currently, UNDP is administering 31 MDTFs and One UN Funds and 21 JPs with a </w:t>
      </w:r>
      <w:r w:rsidRPr="00693C5A">
        <w:rPr>
          <w:lang w:val="en-GB"/>
        </w:rPr>
        <w:t xml:space="preserve">total cumulative portfolio </w:t>
      </w:r>
      <w:r w:rsidR="00DC6DC7">
        <w:rPr>
          <w:lang w:val="en-GB"/>
        </w:rPr>
        <w:t xml:space="preserve">of </w:t>
      </w:r>
      <w:r w:rsidR="00DC6DC7" w:rsidRPr="00693C5A">
        <w:rPr>
          <w:lang w:val="en-GB"/>
        </w:rPr>
        <w:t>about</w:t>
      </w:r>
      <w:r w:rsidRPr="00693C5A">
        <w:rPr>
          <w:lang w:val="en-GB"/>
        </w:rPr>
        <w:t xml:space="preserve"> $</w:t>
      </w:r>
      <w:r>
        <w:rPr>
          <w:lang w:val="en-GB"/>
        </w:rPr>
        <w:t>4.5</w:t>
      </w:r>
      <w:r w:rsidRPr="00693C5A">
        <w:rPr>
          <w:lang w:val="en-GB"/>
        </w:rPr>
        <w:t xml:space="preserve"> billion</w:t>
      </w:r>
      <w:r>
        <w:rPr>
          <w:lang w:val="en-GB"/>
        </w:rPr>
        <w:t xml:space="preserve">, as of 31 March 2010 (see </w:t>
      </w:r>
      <w:hyperlink r:id="rId1" w:history="1">
        <w:r w:rsidRPr="009E264A">
          <w:rPr>
            <w:rStyle w:val="Hyperlink"/>
            <w:lang w:val="en-GB"/>
          </w:rPr>
          <w:t>http://mdtf.undp.org</w:t>
        </w:r>
      </w:hyperlink>
      <w:r>
        <w:rPr>
          <w:lang w:val="en-GB"/>
        </w:rPr>
        <w:t>).</w:t>
      </w:r>
    </w:p>
  </w:footnote>
  <w:footnote w:id="3">
    <w:p w:rsidR="00290879" w:rsidRPr="001E3DBC" w:rsidRDefault="00290879" w:rsidP="003712C7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1E3DBC">
        <w:t>the related decision of the Operations Group (</w:t>
      </w:r>
      <w:hyperlink r:id="rId2" w:history="1">
        <w:r w:rsidRPr="00426A2D">
          <w:rPr>
            <w:rStyle w:val="Hyperlink"/>
          </w:rPr>
          <w:t>OG-2006.04.12-3.1</w:t>
        </w:r>
      </w:hyperlink>
      <w:r w:rsidRPr="001E3DBC">
        <w:t xml:space="preserve">) as well as </w:t>
      </w:r>
      <w:r>
        <w:t xml:space="preserve">the note of </w:t>
      </w:r>
      <w:r w:rsidRPr="001E3DBC">
        <w:t xml:space="preserve">Bruce Jenks </w:t>
      </w:r>
      <w:r>
        <w:t xml:space="preserve">to RRs </w:t>
      </w:r>
      <w:r w:rsidRPr="001E3DBC">
        <w:t xml:space="preserve">of </w:t>
      </w:r>
      <w:smartTag w:uri="urn:schemas-microsoft-com:office:smarttags" w:element="date">
        <w:smartTagPr>
          <w:attr w:name="Month" w:val="5"/>
          <w:attr w:name="Day" w:val="25"/>
          <w:attr w:name="Year" w:val="2006"/>
        </w:smartTagPr>
        <w:r>
          <w:t xml:space="preserve">25 </w:t>
        </w:r>
        <w:r w:rsidRPr="001E3DBC">
          <w:t>May 2006</w:t>
        </w:r>
      </w:smartTag>
      <w:r w:rsidRPr="001E3DBC">
        <w:t>.</w:t>
      </w:r>
    </w:p>
  </w:footnote>
  <w:footnote w:id="4">
    <w:p w:rsidR="00290879" w:rsidRDefault="00290879" w:rsidP="003712C7">
      <w:pPr>
        <w:pStyle w:val="FootnoteText"/>
      </w:pPr>
      <w:r>
        <w:rPr>
          <w:rStyle w:val="FootnoteReference"/>
        </w:rPr>
        <w:footnoteRef/>
      </w:r>
      <w:r>
        <w:t xml:space="preserve"> This would include obtaining appropriate authoritative actions from the concerned UNDP officials (e.g. certification of financial reports by the UNDP Comptroller, treasury functions).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215"/>
    <w:multiLevelType w:val="hybridMultilevel"/>
    <w:tmpl w:val="15D6F9E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F6116CF"/>
    <w:multiLevelType w:val="multilevel"/>
    <w:tmpl w:val="F0883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74661D"/>
    <w:multiLevelType w:val="hybridMultilevel"/>
    <w:tmpl w:val="1C4AB3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577EE578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802409"/>
    <w:multiLevelType w:val="hybridMultilevel"/>
    <w:tmpl w:val="3C76C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44ED3"/>
    <w:multiLevelType w:val="singleLevel"/>
    <w:tmpl w:val="65A274F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2C7"/>
    <w:rsid w:val="000231FE"/>
    <w:rsid w:val="00032A5C"/>
    <w:rsid w:val="00054EA7"/>
    <w:rsid w:val="000750E9"/>
    <w:rsid w:val="000A5C81"/>
    <w:rsid w:val="000D1D6F"/>
    <w:rsid w:val="000F30C3"/>
    <w:rsid w:val="00113E60"/>
    <w:rsid w:val="00117F23"/>
    <w:rsid w:val="00123121"/>
    <w:rsid w:val="00130923"/>
    <w:rsid w:val="00170736"/>
    <w:rsid w:val="00184962"/>
    <w:rsid w:val="001A5B00"/>
    <w:rsid w:val="001B07E1"/>
    <w:rsid w:val="001B4FFC"/>
    <w:rsid w:val="001D5F8A"/>
    <w:rsid w:val="001F2B25"/>
    <w:rsid w:val="001F34C7"/>
    <w:rsid w:val="00212FFF"/>
    <w:rsid w:val="00225E6E"/>
    <w:rsid w:val="00231745"/>
    <w:rsid w:val="0026422A"/>
    <w:rsid w:val="00281759"/>
    <w:rsid w:val="00284BEE"/>
    <w:rsid w:val="0028709B"/>
    <w:rsid w:val="00290879"/>
    <w:rsid w:val="00290BB0"/>
    <w:rsid w:val="002C699F"/>
    <w:rsid w:val="002E1AE2"/>
    <w:rsid w:val="002F3F57"/>
    <w:rsid w:val="00332464"/>
    <w:rsid w:val="00336829"/>
    <w:rsid w:val="0036318D"/>
    <w:rsid w:val="003712C7"/>
    <w:rsid w:val="00390B9D"/>
    <w:rsid w:val="003D5DEB"/>
    <w:rsid w:val="00405BC6"/>
    <w:rsid w:val="0042125F"/>
    <w:rsid w:val="00433EFB"/>
    <w:rsid w:val="00446665"/>
    <w:rsid w:val="0046028C"/>
    <w:rsid w:val="00485A1A"/>
    <w:rsid w:val="004879C5"/>
    <w:rsid w:val="004921B1"/>
    <w:rsid w:val="004933E2"/>
    <w:rsid w:val="0049431E"/>
    <w:rsid w:val="004B0830"/>
    <w:rsid w:val="004B26D4"/>
    <w:rsid w:val="004B35EF"/>
    <w:rsid w:val="004D756D"/>
    <w:rsid w:val="004E0743"/>
    <w:rsid w:val="004E07DB"/>
    <w:rsid w:val="004E73A2"/>
    <w:rsid w:val="005504E9"/>
    <w:rsid w:val="00567E5A"/>
    <w:rsid w:val="0057361B"/>
    <w:rsid w:val="005905B0"/>
    <w:rsid w:val="00592B6A"/>
    <w:rsid w:val="005A6C01"/>
    <w:rsid w:val="005E2CE4"/>
    <w:rsid w:val="005E4F16"/>
    <w:rsid w:val="005F23EE"/>
    <w:rsid w:val="005F73EE"/>
    <w:rsid w:val="00614058"/>
    <w:rsid w:val="00624BB7"/>
    <w:rsid w:val="00642DC4"/>
    <w:rsid w:val="00646EF1"/>
    <w:rsid w:val="00652652"/>
    <w:rsid w:val="00653718"/>
    <w:rsid w:val="006542B6"/>
    <w:rsid w:val="00655BA2"/>
    <w:rsid w:val="006603A6"/>
    <w:rsid w:val="00665AE5"/>
    <w:rsid w:val="006770A2"/>
    <w:rsid w:val="00690C83"/>
    <w:rsid w:val="00693C5A"/>
    <w:rsid w:val="006B79DC"/>
    <w:rsid w:val="006C4CDC"/>
    <w:rsid w:val="006D4C28"/>
    <w:rsid w:val="006D5ECF"/>
    <w:rsid w:val="0070200C"/>
    <w:rsid w:val="0071388D"/>
    <w:rsid w:val="00723840"/>
    <w:rsid w:val="0073495F"/>
    <w:rsid w:val="0074137D"/>
    <w:rsid w:val="00776D3B"/>
    <w:rsid w:val="007973F6"/>
    <w:rsid w:val="007A2ED3"/>
    <w:rsid w:val="007B2491"/>
    <w:rsid w:val="007C3C84"/>
    <w:rsid w:val="007D602D"/>
    <w:rsid w:val="007E2354"/>
    <w:rsid w:val="007E5509"/>
    <w:rsid w:val="00843FBB"/>
    <w:rsid w:val="008B119B"/>
    <w:rsid w:val="008B1D3C"/>
    <w:rsid w:val="008B45A2"/>
    <w:rsid w:val="008D022D"/>
    <w:rsid w:val="008E19BB"/>
    <w:rsid w:val="008E1B48"/>
    <w:rsid w:val="008E1F4B"/>
    <w:rsid w:val="008E24ED"/>
    <w:rsid w:val="00913195"/>
    <w:rsid w:val="00914C32"/>
    <w:rsid w:val="0091675C"/>
    <w:rsid w:val="00921D04"/>
    <w:rsid w:val="009255C1"/>
    <w:rsid w:val="009579C7"/>
    <w:rsid w:val="009701F4"/>
    <w:rsid w:val="009733A5"/>
    <w:rsid w:val="009E5A43"/>
    <w:rsid w:val="009F0769"/>
    <w:rsid w:val="009F5CFE"/>
    <w:rsid w:val="00A00BE9"/>
    <w:rsid w:val="00A010C0"/>
    <w:rsid w:val="00A142F6"/>
    <w:rsid w:val="00A20EB7"/>
    <w:rsid w:val="00A30B49"/>
    <w:rsid w:val="00A66957"/>
    <w:rsid w:val="00A73C37"/>
    <w:rsid w:val="00A7745B"/>
    <w:rsid w:val="00A7773A"/>
    <w:rsid w:val="00AF0906"/>
    <w:rsid w:val="00AF5D55"/>
    <w:rsid w:val="00B07C92"/>
    <w:rsid w:val="00B34554"/>
    <w:rsid w:val="00B514A8"/>
    <w:rsid w:val="00B538F1"/>
    <w:rsid w:val="00B5418A"/>
    <w:rsid w:val="00B666FB"/>
    <w:rsid w:val="00B86FE3"/>
    <w:rsid w:val="00BD30A2"/>
    <w:rsid w:val="00BD6AF4"/>
    <w:rsid w:val="00BE263B"/>
    <w:rsid w:val="00BF27A5"/>
    <w:rsid w:val="00C10457"/>
    <w:rsid w:val="00C341BC"/>
    <w:rsid w:val="00C37A0A"/>
    <w:rsid w:val="00C53CB9"/>
    <w:rsid w:val="00C739C7"/>
    <w:rsid w:val="00C83D62"/>
    <w:rsid w:val="00C85959"/>
    <w:rsid w:val="00C95A29"/>
    <w:rsid w:val="00C97440"/>
    <w:rsid w:val="00CA6CC3"/>
    <w:rsid w:val="00CC5273"/>
    <w:rsid w:val="00CE2700"/>
    <w:rsid w:val="00D1578A"/>
    <w:rsid w:val="00D165A7"/>
    <w:rsid w:val="00D27721"/>
    <w:rsid w:val="00D56438"/>
    <w:rsid w:val="00D62D9E"/>
    <w:rsid w:val="00D7407B"/>
    <w:rsid w:val="00D90F9E"/>
    <w:rsid w:val="00DA5BDC"/>
    <w:rsid w:val="00DC6DC7"/>
    <w:rsid w:val="00DD3254"/>
    <w:rsid w:val="00E12B67"/>
    <w:rsid w:val="00E21C41"/>
    <w:rsid w:val="00E769C9"/>
    <w:rsid w:val="00E96AF1"/>
    <w:rsid w:val="00EA2970"/>
    <w:rsid w:val="00EA3083"/>
    <w:rsid w:val="00EC27FD"/>
    <w:rsid w:val="00EE0EFB"/>
    <w:rsid w:val="00EE7AFC"/>
    <w:rsid w:val="00F05FDE"/>
    <w:rsid w:val="00F21BAA"/>
    <w:rsid w:val="00F47670"/>
    <w:rsid w:val="00F55DDD"/>
    <w:rsid w:val="00F834AE"/>
    <w:rsid w:val="00F91AEE"/>
    <w:rsid w:val="00FB4C71"/>
    <w:rsid w:val="00FD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12C7"/>
    <w:rPr>
      <w:color w:val="0000FF"/>
      <w:u w:val="single"/>
    </w:rPr>
  </w:style>
  <w:style w:type="paragraph" w:styleId="Footer">
    <w:name w:val="footer"/>
    <w:basedOn w:val="Normal"/>
    <w:rsid w:val="003712C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712C7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3712C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12C7"/>
    <w:rPr>
      <w:vertAlign w:val="superscript"/>
    </w:rPr>
  </w:style>
  <w:style w:type="paragraph" w:styleId="Header">
    <w:name w:val="header"/>
    <w:basedOn w:val="Normal"/>
    <w:rsid w:val="003712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D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F5D55"/>
    <w:rPr>
      <w:sz w:val="16"/>
      <w:szCs w:val="16"/>
    </w:rPr>
  </w:style>
  <w:style w:type="paragraph" w:styleId="CommentText">
    <w:name w:val="annotation text"/>
    <w:basedOn w:val="Normal"/>
    <w:semiHidden/>
    <w:rsid w:val="00AF5D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5D55"/>
    <w:rPr>
      <w:b/>
      <w:bCs/>
    </w:rPr>
  </w:style>
  <w:style w:type="character" w:styleId="PageNumber">
    <w:name w:val="page number"/>
    <w:basedOn w:val="DefaultParagraphFont"/>
    <w:rsid w:val="00C341BC"/>
  </w:style>
  <w:style w:type="character" w:styleId="FollowedHyperlink">
    <w:name w:val="FollowedHyperlink"/>
    <w:basedOn w:val="DefaultParagraphFont"/>
    <w:rsid w:val="008B119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6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undp.org/go/userguide/finance/fin-mgmt-exec-mod/joint-prgm/pass-trgh-fnd-mgmt/?lang=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ndg.org/index.cfm?P=23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dg.org/index.cfm?P=23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dp.org/mdg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.undp.org/go/prescriptive/Financial-Resources-Management---Prescriptive-Content/download/?d_id=760112&amp;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ebapp1.undp.org/sm_decisions/components/display_decisons.cfm?MeetingDate=04/12/2006&amp;SourceReportID=1" TargetMode="External"/><Relationship Id="rId1" Type="http://schemas.openxmlformats.org/officeDocument/2006/relationships/hyperlink" Target="http://mdtf.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2106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 on UNDP’s accountability when acting as Administrative Agent in Multi-Donor Trust Funds and/or UN Joint Programmes using the pass-through modality</vt:lpstr>
    </vt:vector>
  </TitlesOfParts>
  <Company>GX270 June 2004 Build</Company>
  <LinksUpToDate>false</LinksUpToDate>
  <CharactersWithSpaces>14180</CharactersWithSpaces>
  <SharedDoc>false</SharedDoc>
  <HLinks>
    <vt:vector size="42" baseType="variant">
      <vt:variant>
        <vt:i4>3866728</vt:i4>
      </vt:variant>
      <vt:variant>
        <vt:i4>15</vt:i4>
      </vt:variant>
      <vt:variant>
        <vt:i4>0</vt:i4>
      </vt:variant>
      <vt:variant>
        <vt:i4>5</vt:i4>
      </vt:variant>
      <vt:variant>
        <vt:lpwstr>http://www.undg.org/index.cfm?P=237</vt:lpwstr>
      </vt:variant>
      <vt:variant>
        <vt:lpwstr/>
      </vt:variant>
      <vt:variant>
        <vt:i4>4915276</vt:i4>
      </vt:variant>
      <vt:variant>
        <vt:i4>12</vt:i4>
      </vt:variant>
      <vt:variant>
        <vt:i4>0</vt:i4>
      </vt:variant>
      <vt:variant>
        <vt:i4>5</vt:i4>
      </vt:variant>
      <vt:variant>
        <vt:lpwstr>http://www.undp.org/mdgf</vt:lpwstr>
      </vt:variant>
      <vt:variant>
        <vt:lpwstr/>
      </vt:variant>
      <vt:variant>
        <vt:i4>2490481</vt:i4>
      </vt:variant>
      <vt:variant>
        <vt:i4>9</vt:i4>
      </vt:variant>
      <vt:variant>
        <vt:i4>0</vt:i4>
      </vt:variant>
      <vt:variant>
        <vt:i4>5</vt:i4>
      </vt:variant>
      <vt:variant>
        <vt:lpwstr>http://webapp1.undp.org/sm_decisions/components/display_decisons.cfm?MeetingDate=04/12/2006&amp;SourceReportID=1</vt:lpwstr>
      </vt:variant>
      <vt:variant>
        <vt:lpwstr/>
      </vt:variant>
      <vt:variant>
        <vt:i4>3276868</vt:i4>
      </vt:variant>
      <vt:variant>
        <vt:i4>6</vt:i4>
      </vt:variant>
      <vt:variant>
        <vt:i4>0</vt:i4>
      </vt:variant>
      <vt:variant>
        <vt:i4>5</vt:i4>
      </vt:variant>
      <vt:variant>
        <vt:lpwstr>http://content.undp.org/go/prescriptive/Financial-Resources-Management---Prescriptive-Content/download/?d_id=760112&amp;</vt:lpwstr>
      </vt:variant>
      <vt:variant>
        <vt:lpwstr/>
      </vt:variant>
      <vt:variant>
        <vt:i4>1704024</vt:i4>
      </vt:variant>
      <vt:variant>
        <vt:i4>3</vt:i4>
      </vt:variant>
      <vt:variant>
        <vt:i4>0</vt:i4>
      </vt:variant>
      <vt:variant>
        <vt:i4>5</vt:i4>
      </vt:variant>
      <vt:variant>
        <vt:lpwstr>http://content.undp.org/go/userguide/finance/fin-mgmt-exec-mod/joint-prgm/pass-trgh-fnd-mgmt/?lang=en</vt:lpwstr>
      </vt:variant>
      <vt:variant>
        <vt:lpwstr/>
      </vt:variant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http://www.undg.org/index.cfm?P=237</vt:lpwstr>
      </vt:variant>
      <vt:variant>
        <vt:lpwstr/>
      </vt:variant>
      <vt:variant>
        <vt:i4>2490481</vt:i4>
      </vt:variant>
      <vt:variant>
        <vt:i4>0</vt:i4>
      </vt:variant>
      <vt:variant>
        <vt:i4>0</vt:i4>
      </vt:variant>
      <vt:variant>
        <vt:i4>5</vt:i4>
      </vt:variant>
      <vt:variant>
        <vt:lpwstr>http://webapp1.undp.org/sm_decisions/components/display_decisons.cfm?MeetingDate=04/12/2006&amp;SourceReportID=1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 on UNDP’s accountability when acting as Administrative Agent in Multi-Donor Trust Funds and/or UN Joint Programmes using the pass-through modality</dc:title>
  <dc:creator>UNDP</dc:creator>
  <cp:lastModifiedBy>UNDP</cp:lastModifiedBy>
  <cp:revision>2</cp:revision>
  <cp:lastPrinted>2010-08-17T22:14:00Z</cp:lastPrinted>
  <dcterms:created xsi:type="dcterms:W3CDTF">2010-08-17T22:19:00Z</dcterms:created>
  <dcterms:modified xsi:type="dcterms:W3CDTF">2010-08-17T22:19:00Z</dcterms:modified>
</cp:coreProperties>
</file>